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العاشر</w:t>
      </w:r>
    </w:p>
    <w:p>
      <w:pPr>
        <w:spacing w:line="283" w:lineRule="auto" w:after="80" w:before="0"/>
        <w:jc w:val="center"/>
        <w:bidi/>
      </w:pPr>
      <w:r>
        <w:rPr>
          <w:b/>
          <w:sz w:val="46"/>
        </w:rPr>
        <w:t>نظرية الوحدة السُّورية في القرآن</w:t>
      </w:r>
    </w:p>
    <w:p>
      <w:pPr>
        <w:spacing w:line="283" w:lineRule="auto" w:after="80" w:before="0"/>
        <w:jc w:val="center"/>
        <w:bidi/>
      </w:pPr>
      <w:r>
        <w:rPr>
          <w:b w:val="0"/>
          <w:sz w:val="29"/>
        </w:rPr>
        <w:t>من مطلع السورة ومقاطعها وانتقالاتها إلى محورها ونظامها وخاتمتها</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الوحدة السُّورية في التفسير البياني، ويعالج السورة بوصفها وحدةً منزلةً لها ترتيب داخلي ومقاطع وانتقالات وعلاقات ومطلع وخاتمة، لا بوصفها حاويةً لآيات متجاورة أو موضوعاً واحداً مفروضاً من خارجها. وتقوم النظرية على أن وحدة السورة تُستخرج من النص نفسه عبر القرائن اللفظية والتركيبية والسياقية والتكرارية والقصصية والحجاجية والمقصدية والمآلية، وتظل فرضيةً قابلةً للاختبار والترجيح والمراجعة.</w:t>
      </w:r>
    </w:p>
    <w:p>
      <w:pPr>
        <w:spacing w:line="283" w:lineRule="auto" w:after="80"/>
        <w:ind w:firstLine="397"/>
        <w:jc w:val="both"/>
        <w:bidi/>
      </w:pPr>
      <w:r>
        <w:t>يفصل الكتاب بين الوحدة السُّورية والوحدة الموضوعية. فالوحدة الموضوعية قد تجمع آيات من سور متعددة حول سؤال واحد، أما الوحدة السُّورية فتبدأ من حدود السورة المنزلة وترتيب آياتها، وتسأل: ما وظيفة كل مقطع في بنية السورة؟ وكيف تنتقل السورة بين الموضوعات والأصوات والمشاهد والأحكام من غير أن تفقد وحدتها؟ وقد تكون للسورة بؤرة واحدة، أو محوران متقابلان، أو حركة متدرجة، أو بنية حلقية، أو مجموعة مقاطع تتحد بمقصد أو حجاج أو مآل.</w:t>
      </w:r>
    </w:p>
    <w:p>
      <w:pPr>
        <w:spacing w:line="283" w:lineRule="auto" w:after="80"/>
        <w:ind w:firstLine="397"/>
        <w:jc w:val="both"/>
        <w:bidi/>
      </w:pPr>
      <w:r>
        <w:t>يُعيد الكتاب بناء مفهوم المقطع القرآني، فلا يجعله فقرةً طباعيةً ولا يقسم السورة بحسب أطوال الآيات، بل يستدل على حدوده بتغير المتكلم أو المخاطب أو الزمن أو المشهد أو الأسلوب أو الموضوع أو الروابط أو اللازمة، مع اختبار الحد المقترح على البنية السابقة واللاحقة. ويمنع اعتبار كل تغير موضوعي انقطاعاً، فقد يكون الانتقال نفسه أداةً بيانياً لربط مجالين.</w:t>
      </w:r>
    </w:p>
    <w:p>
      <w:pPr>
        <w:spacing w:line="283" w:lineRule="auto" w:after="80"/>
        <w:ind w:firstLine="397"/>
        <w:jc w:val="both"/>
        <w:bidi/>
      </w:pPr>
      <w:r>
        <w:t>يتعامل الكتاب مع مطلع السورة وخاتمتها بوصفهما موضعين عاليي الدلالة من غير تحويلهما إلى مفتاحين حصريين. فالمطلع قد يعلن سؤالاً أو معياراً أو مشهداً أو قسماً، والخاتمة قد تجمع المآل أو تعيد المفهوم أو تنقل المسؤولية إلى المخاطب. وتُختبر العلاقة بينهما بالقرائن، ولا يُفترض التطابق أو البنية الدائرية سلفاً.</w:t>
      </w:r>
    </w:p>
    <w:p>
      <w:pPr>
        <w:spacing w:line="283" w:lineRule="auto" w:after="80"/>
        <w:ind w:firstLine="397"/>
        <w:jc w:val="both"/>
        <w:bidi/>
      </w:pPr>
      <w:r>
        <w:t>يحرر الكتاب أنماطاً متعددة للوحدة السُّورية: الوحدة المحورية، والوحدة الحجاجية، والوحدة القصصية، والوحدة التقابلية، والوحدة السننية، والوحدة المقصدية، والوحدة المآلية، والوحدة الإيقاعية-التكرارية، والوحدة المركبة. ويمنع اختزال جميع السور في نموذج واحد؛ لأن اختلاف أغراض السور وأطوالها وبناها جزء من البيان.</w:t>
      </w:r>
    </w:p>
    <w:p>
      <w:pPr>
        <w:spacing w:line="283" w:lineRule="auto" w:after="80"/>
        <w:ind w:firstLine="397"/>
        <w:jc w:val="both"/>
        <w:bidi/>
      </w:pPr>
      <w:r>
        <w:t>تُطبق النظرية على نماذج من الفاتحة والبقرة وآل عمران والنساء والمائدة والأنعام والأعراف ويوسف والكهف ومريم وطه والشعراء والنمل والقصص والعنكبوت والروم والرحمن والواقعة والحديد والحشر، مع التركيز على منهج استخراج البنية لا على تقديم تفسير كامل لكل سورة.</w:t>
      </w:r>
    </w:p>
    <w:p>
      <w:pPr>
        <w:spacing w:line="283" w:lineRule="auto" w:after="80"/>
        <w:ind w:firstLine="397"/>
        <w:jc w:val="both"/>
        <w:bidi/>
      </w:pPr>
      <w:r>
        <w:t>ينتهي الكتاب إلى خوارزمية للسورة تبدأ بتثبيت النص والقراءات، ثم تحديد المقاطع، وتحليل الروابط والانتقالات واللوازم والمحاور والقصص والحجاج، وبناء فرضيات متعددة للوحدة، واختبارها بآيات حدية أو مقاطع صعبة، ثم ترجيح النموذج الأكثر قدرةً على تفسير جميع الأجزاء بأقل قدر من الإكراه، مع إعلان حدود النتيجة ودرجة الثقة.</w:t>
      </w:r>
    </w:p>
    <w:p>
      <w:pPr>
        <w:spacing w:line="283" w:lineRule="auto" w:after="80"/>
        <w:ind w:firstLine="397"/>
        <w:jc w:val="both"/>
        <w:bidi/>
      </w:pPr>
      <w:r>
        <w:t>وتستقر الأطروحة النهائية على أن الوحدة السُّورية ليست شعاراً جمالياً ولا افتراضاً عقدياً بوجوب وجود موضوع واحد، بل علم ببنية السورة بقدر ما يثبته ترتيب النص والقرائن والعلاقات، تحت حاكمية القرآن ومنطق البيان والميزان، مع إمكان تعدد النماذج التفسيرية إذا تقاربت قوتها وفسرت أجزاء السورة من غير إخسار.</w:t>
      </w:r>
    </w:p>
    <w:p>
      <w:pPr>
        <w:pStyle w:val="Heading2"/>
        <w:spacing w:line="283" w:lineRule="auto" w:after="120"/>
        <w:jc w:val="right"/>
        <w:keepNext/>
        <w:bidi/>
      </w:pPr>
      <w:r>
        <w:t>التمييز الحاكم</w:t>
      </w:r>
    </w:p>
    <w:p>
      <w:pPr>
        <w:spacing w:line="283" w:lineRule="auto" w:after="80"/>
        <w:ind w:firstLine="397"/>
        <w:jc w:val="both"/>
        <w:bidi/>
      </w:pPr>
      <w:r>
        <w:t>الوحدة الموضوعية تسأل: كيف يعالج القرآن كله قضيةً محددة؟ أما الوحدة السُّورية فتسأل: كيف ينتظم خطاب هذه السورة بعينها من أولها إلى آخرها؟ ومن ثم فالموضوع أداة جمع عبر السور، والسورة إطار منزل سابق على اختيار الباحث، ولا يجوز أن يُبتلع أحدهما في الآخر.</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الرقم</w:t>
            </w:r>
          </w:p>
        </w:tc>
        <w:tc>
          <w:tcPr>
            <w:tcW w:type="dxa" w:w="3952"/>
            <w:vAlign w:val="center"/>
          </w:tcPr>
          <w:p>
            <w:pPr>
              <w:spacing w:line="283" w:lineRule="auto" w:after="0"/>
              <w:jc w:val="center"/>
              <w:bidi/>
            </w:pPr>
            <w:r>
              <w:rPr>
                <w:b/>
                <w:sz w:val="19"/>
              </w:rPr>
              <w:t>العنوان</w:t>
            </w:r>
          </w:p>
        </w:tc>
      </w:tr>
      <w:tr>
        <w:tc>
          <w:tcPr>
            <w:tcW w:type="dxa" w:w="3952"/>
            <w:vAlign w:val="center"/>
          </w:tcPr>
          <w:p>
            <w:pPr>
              <w:spacing w:line="283" w:lineRule="auto" w:after="0"/>
              <w:jc w:val="right"/>
              <w:bidi/>
            </w:pPr>
            <w:r>
              <w:rPr>
                <w:sz w:val="19"/>
              </w:rPr>
              <w:t>الباب الأول</w:t>
            </w:r>
          </w:p>
        </w:tc>
        <w:tc>
          <w:tcPr>
            <w:tcW w:type="dxa" w:w="3952"/>
            <w:vAlign w:val="center"/>
          </w:tcPr>
          <w:p>
            <w:pPr>
              <w:spacing w:line="283" w:lineRule="auto" w:after="0"/>
              <w:jc w:val="right"/>
              <w:bidi/>
            </w:pPr>
            <w:r>
              <w:rPr>
                <w:sz w:val="19"/>
              </w:rPr>
              <w:t>ماهية الوحدة السُّورية وموضوع النظرية</w:t>
            </w:r>
          </w:p>
        </w:tc>
      </w:tr>
      <w:tr>
        <w:tc>
          <w:tcPr>
            <w:tcW w:type="dxa" w:w="3952"/>
            <w:vAlign w:val="center"/>
          </w:tcPr>
          <w:p>
            <w:pPr>
              <w:spacing w:line="283" w:lineRule="auto" w:after="0"/>
              <w:jc w:val="right"/>
              <w:bidi/>
            </w:pPr>
            <w:r>
              <w:rPr>
                <w:sz w:val="19"/>
              </w:rPr>
              <w:t>الباب الثاني</w:t>
            </w:r>
          </w:p>
        </w:tc>
        <w:tc>
          <w:tcPr>
            <w:tcW w:type="dxa" w:w="3952"/>
            <w:vAlign w:val="center"/>
          </w:tcPr>
          <w:p>
            <w:pPr>
              <w:spacing w:line="283" w:lineRule="auto" w:after="0"/>
              <w:jc w:val="right"/>
              <w:bidi/>
            </w:pPr>
            <w:r>
              <w:rPr>
                <w:sz w:val="19"/>
              </w:rPr>
              <w:t>السورة بوصفها وحدةً منزلة وحدود الاستدلال بالترتيب</w:t>
            </w:r>
          </w:p>
        </w:tc>
      </w:tr>
      <w:tr>
        <w:tc>
          <w:tcPr>
            <w:tcW w:type="dxa" w:w="3952"/>
            <w:vAlign w:val="center"/>
          </w:tcPr>
          <w:p>
            <w:pPr>
              <w:spacing w:line="283" w:lineRule="auto" w:after="0"/>
              <w:jc w:val="right"/>
              <w:bidi/>
            </w:pPr>
            <w:r>
              <w:rPr>
                <w:sz w:val="19"/>
              </w:rPr>
              <w:t>الباب الثالث</w:t>
            </w:r>
          </w:p>
        </w:tc>
        <w:tc>
          <w:tcPr>
            <w:tcW w:type="dxa" w:w="3952"/>
            <w:vAlign w:val="center"/>
          </w:tcPr>
          <w:p>
            <w:pPr>
              <w:spacing w:line="283" w:lineRule="auto" w:after="0"/>
              <w:jc w:val="right"/>
              <w:bidi/>
            </w:pPr>
            <w:r>
              <w:rPr>
                <w:sz w:val="19"/>
              </w:rPr>
              <w:t>المطلع والخاتمة ووظيفتهما في بنية السورة</w:t>
            </w:r>
          </w:p>
        </w:tc>
      </w:tr>
      <w:tr>
        <w:tc>
          <w:tcPr>
            <w:tcW w:type="dxa" w:w="3952"/>
            <w:vAlign w:val="center"/>
          </w:tcPr>
          <w:p>
            <w:pPr>
              <w:spacing w:line="283" w:lineRule="auto" w:after="0"/>
              <w:jc w:val="right"/>
              <w:bidi/>
            </w:pPr>
            <w:r>
              <w:rPr>
                <w:sz w:val="19"/>
              </w:rPr>
              <w:t>الباب الرابع</w:t>
            </w:r>
          </w:p>
        </w:tc>
        <w:tc>
          <w:tcPr>
            <w:tcW w:type="dxa" w:w="3952"/>
            <w:vAlign w:val="center"/>
          </w:tcPr>
          <w:p>
            <w:pPr>
              <w:spacing w:line="283" w:lineRule="auto" w:after="0"/>
              <w:jc w:val="right"/>
              <w:bidi/>
            </w:pPr>
            <w:r>
              <w:rPr>
                <w:sz w:val="19"/>
              </w:rPr>
              <w:t>المقطع القرآني: تعريفه ومعايير حدوده</w:t>
            </w:r>
          </w:p>
        </w:tc>
      </w:tr>
      <w:tr>
        <w:tc>
          <w:tcPr>
            <w:tcW w:type="dxa" w:w="3952"/>
            <w:vAlign w:val="center"/>
          </w:tcPr>
          <w:p>
            <w:pPr>
              <w:spacing w:line="283" w:lineRule="auto" w:after="0"/>
              <w:jc w:val="right"/>
              <w:bidi/>
            </w:pPr>
            <w:r>
              <w:rPr>
                <w:sz w:val="19"/>
              </w:rPr>
              <w:t>الباب الخامس</w:t>
            </w:r>
          </w:p>
        </w:tc>
        <w:tc>
          <w:tcPr>
            <w:tcW w:type="dxa" w:w="3952"/>
            <w:vAlign w:val="center"/>
          </w:tcPr>
          <w:p>
            <w:pPr>
              <w:spacing w:line="283" w:lineRule="auto" w:after="0"/>
              <w:jc w:val="right"/>
              <w:bidi/>
            </w:pPr>
            <w:r>
              <w:rPr>
                <w:sz w:val="19"/>
              </w:rPr>
              <w:t>الروابط والانتقالات بين المقاطع</w:t>
            </w:r>
          </w:p>
        </w:tc>
      </w:tr>
      <w:tr>
        <w:tc>
          <w:tcPr>
            <w:tcW w:type="dxa" w:w="3952"/>
            <w:vAlign w:val="center"/>
          </w:tcPr>
          <w:p>
            <w:pPr>
              <w:spacing w:line="283" w:lineRule="auto" w:after="0"/>
              <w:jc w:val="right"/>
              <w:bidi/>
            </w:pPr>
            <w:r>
              <w:rPr>
                <w:sz w:val="19"/>
              </w:rPr>
              <w:t>الباب السادس</w:t>
            </w:r>
          </w:p>
        </w:tc>
        <w:tc>
          <w:tcPr>
            <w:tcW w:type="dxa" w:w="3952"/>
            <w:vAlign w:val="center"/>
          </w:tcPr>
          <w:p>
            <w:pPr>
              <w:spacing w:line="283" w:lineRule="auto" w:after="0"/>
              <w:jc w:val="right"/>
              <w:bidi/>
            </w:pPr>
            <w:r>
              <w:rPr>
                <w:sz w:val="19"/>
              </w:rPr>
              <w:t>المحور والبؤرة والمقصد: الفروق والمراتب</w:t>
            </w:r>
          </w:p>
        </w:tc>
      </w:tr>
      <w:tr>
        <w:tc>
          <w:tcPr>
            <w:tcW w:type="dxa" w:w="3952"/>
            <w:vAlign w:val="center"/>
          </w:tcPr>
          <w:p>
            <w:pPr>
              <w:spacing w:line="283" w:lineRule="auto" w:after="0"/>
              <w:jc w:val="right"/>
              <w:bidi/>
            </w:pPr>
            <w:r>
              <w:rPr>
                <w:sz w:val="19"/>
              </w:rPr>
              <w:t>الباب السابع</w:t>
            </w:r>
          </w:p>
        </w:tc>
        <w:tc>
          <w:tcPr>
            <w:tcW w:type="dxa" w:w="3952"/>
            <w:vAlign w:val="center"/>
          </w:tcPr>
          <w:p>
            <w:pPr>
              <w:spacing w:line="283" w:lineRule="auto" w:after="0"/>
              <w:jc w:val="right"/>
              <w:bidi/>
            </w:pPr>
            <w:r>
              <w:rPr>
                <w:sz w:val="19"/>
              </w:rPr>
              <w:t>التكرار واللوازم والإيقاع في توحيد السورة</w:t>
            </w:r>
          </w:p>
        </w:tc>
      </w:tr>
      <w:tr>
        <w:tc>
          <w:tcPr>
            <w:tcW w:type="dxa" w:w="3952"/>
            <w:vAlign w:val="center"/>
          </w:tcPr>
          <w:p>
            <w:pPr>
              <w:spacing w:line="283" w:lineRule="auto" w:after="0"/>
              <w:jc w:val="right"/>
              <w:bidi/>
            </w:pPr>
            <w:r>
              <w:rPr>
                <w:sz w:val="19"/>
              </w:rPr>
              <w:t>الباب الثامن</w:t>
            </w:r>
          </w:p>
        </w:tc>
        <w:tc>
          <w:tcPr>
            <w:tcW w:type="dxa" w:w="3952"/>
            <w:vAlign w:val="center"/>
          </w:tcPr>
          <w:p>
            <w:pPr>
              <w:spacing w:line="283" w:lineRule="auto" w:after="0"/>
              <w:jc w:val="right"/>
              <w:bidi/>
            </w:pPr>
            <w:r>
              <w:rPr>
                <w:sz w:val="19"/>
              </w:rPr>
              <w:t>القصص والحوار والمشاهد داخل الوحدة السُّورية</w:t>
            </w:r>
          </w:p>
        </w:tc>
      </w:tr>
      <w:tr>
        <w:tc>
          <w:tcPr>
            <w:tcW w:type="dxa" w:w="3952"/>
            <w:vAlign w:val="center"/>
          </w:tcPr>
          <w:p>
            <w:pPr>
              <w:spacing w:line="283" w:lineRule="auto" w:after="0"/>
              <w:jc w:val="right"/>
              <w:bidi/>
            </w:pPr>
            <w:r>
              <w:rPr>
                <w:sz w:val="19"/>
              </w:rPr>
              <w:t>الباب التاسع</w:t>
            </w:r>
          </w:p>
        </w:tc>
        <w:tc>
          <w:tcPr>
            <w:tcW w:type="dxa" w:w="3952"/>
            <w:vAlign w:val="center"/>
          </w:tcPr>
          <w:p>
            <w:pPr>
              <w:spacing w:line="283" w:lineRule="auto" w:after="0"/>
              <w:jc w:val="right"/>
              <w:bidi/>
            </w:pPr>
            <w:r>
              <w:rPr>
                <w:sz w:val="19"/>
              </w:rPr>
              <w:t>الحجاج والتقابل والجدل وبنية البرهان</w:t>
            </w:r>
          </w:p>
        </w:tc>
      </w:tr>
      <w:tr>
        <w:tc>
          <w:tcPr>
            <w:tcW w:type="dxa" w:w="3952"/>
            <w:vAlign w:val="center"/>
          </w:tcPr>
          <w:p>
            <w:pPr>
              <w:spacing w:line="283" w:lineRule="auto" w:after="0"/>
              <w:jc w:val="right"/>
              <w:bidi/>
            </w:pPr>
            <w:r>
              <w:rPr>
                <w:sz w:val="19"/>
              </w:rPr>
              <w:t>الباب العاشر</w:t>
            </w:r>
          </w:p>
        </w:tc>
        <w:tc>
          <w:tcPr>
            <w:tcW w:type="dxa" w:w="3952"/>
            <w:vAlign w:val="center"/>
          </w:tcPr>
          <w:p>
            <w:pPr>
              <w:spacing w:line="283" w:lineRule="auto" w:after="0"/>
              <w:jc w:val="right"/>
              <w:bidi/>
            </w:pPr>
            <w:r>
              <w:rPr>
                <w:sz w:val="19"/>
              </w:rPr>
              <w:t>الأحكام والتشريع داخل نظام السورة</w:t>
            </w:r>
          </w:p>
        </w:tc>
      </w:tr>
      <w:tr>
        <w:tc>
          <w:tcPr>
            <w:tcW w:type="dxa" w:w="3952"/>
            <w:vAlign w:val="center"/>
          </w:tcPr>
          <w:p>
            <w:pPr>
              <w:spacing w:line="283" w:lineRule="auto" w:after="0"/>
              <w:jc w:val="right"/>
              <w:bidi/>
            </w:pPr>
            <w:r>
              <w:rPr>
                <w:sz w:val="19"/>
              </w:rPr>
              <w:t>الباب الحادي عشر</w:t>
            </w:r>
          </w:p>
        </w:tc>
        <w:tc>
          <w:tcPr>
            <w:tcW w:type="dxa" w:w="3952"/>
            <w:vAlign w:val="center"/>
          </w:tcPr>
          <w:p>
            <w:pPr>
              <w:spacing w:line="283" w:lineRule="auto" w:after="0"/>
              <w:jc w:val="right"/>
              <w:bidi/>
            </w:pPr>
            <w:r>
              <w:rPr>
                <w:sz w:val="19"/>
              </w:rPr>
              <w:t>المحكم والمتشابه والتصريف بين السور</w:t>
            </w:r>
          </w:p>
        </w:tc>
      </w:tr>
      <w:tr>
        <w:tc>
          <w:tcPr>
            <w:tcW w:type="dxa" w:w="3952"/>
            <w:vAlign w:val="center"/>
          </w:tcPr>
          <w:p>
            <w:pPr>
              <w:spacing w:line="283" w:lineRule="auto" w:after="0"/>
              <w:jc w:val="right"/>
              <w:bidi/>
            </w:pPr>
            <w:r>
              <w:rPr>
                <w:sz w:val="19"/>
              </w:rPr>
              <w:t>الباب الثاني عشر</w:t>
            </w:r>
          </w:p>
        </w:tc>
        <w:tc>
          <w:tcPr>
            <w:tcW w:type="dxa" w:w="3952"/>
            <w:vAlign w:val="center"/>
          </w:tcPr>
          <w:p>
            <w:pPr>
              <w:spacing w:line="283" w:lineRule="auto" w:after="0"/>
              <w:jc w:val="right"/>
              <w:bidi/>
            </w:pPr>
            <w:r>
              <w:rPr>
                <w:sz w:val="19"/>
              </w:rPr>
              <w:t>أنماط الوحدة السُّورية وتعدد البنى</w:t>
            </w:r>
          </w:p>
        </w:tc>
      </w:tr>
      <w:tr>
        <w:tc>
          <w:tcPr>
            <w:tcW w:type="dxa" w:w="3952"/>
            <w:vAlign w:val="center"/>
          </w:tcPr>
          <w:p>
            <w:pPr>
              <w:spacing w:line="283" w:lineRule="auto" w:after="0"/>
              <w:jc w:val="right"/>
              <w:bidi/>
            </w:pPr>
            <w:r>
              <w:rPr>
                <w:sz w:val="19"/>
              </w:rPr>
              <w:t>الباب الثالث عشر</w:t>
            </w:r>
          </w:p>
        </w:tc>
        <w:tc>
          <w:tcPr>
            <w:tcW w:type="dxa" w:w="3952"/>
            <w:vAlign w:val="center"/>
          </w:tcPr>
          <w:p>
            <w:pPr>
              <w:spacing w:line="283" w:lineRule="auto" w:after="0"/>
              <w:jc w:val="right"/>
              <w:bidi/>
            </w:pPr>
            <w:r>
              <w:rPr>
                <w:sz w:val="19"/>
              </w:rPr>
              <w:t>ترجيح نماذج تقسيم السورة ووحدتها</w:t>
            </w:r>
          </w:p>
        </w:tc>
      </w:tr>
      <w:tr>
        <w:tc>
          <w:tcPr>
            <w:tcW w:type="dxa" w:w="3952"/>
            <w:vAlign w:val="center"/>
          </w:tcPr>
          <w:p>
            <w:pPr>
              <w:spacing w:line="283" w:lineRule="auto" w:after="0"/>
              <w:jc w:val="right"/>
              <w:bidi/>
            </w:pPr>
            <w:r>
              <w:rPr>
                <w:sz w:val="19"/>
              </w:rPr>
              <w:t>الباب الرابع عشر</w:t>
            </w:r>
          </w:p>
        </w:tc>
        <w:tc>
          <w:tcPr>
            <w:tcW w:type="dxa" w:w="3952"/>
            <w:vAlign w:val="center"/>
          </w:tcPr>
          <w:p>
            <w:pPr>
              <w:spacing w:line="283" w:lineRule="auto" w:after="0"/>
              <w:jc w:val="right"/>
              <w:bidi/>
            </w:pPr>
            <w:r>
              <w:rPr>
                <w:sz w:val="19"/>
              </w:rPr>
              <w:t>الوحدة السُّورية والتفسير الموضوعي والمقاصدي</w:t>
            </w:r>
          </w:p>
        </w:tc>
      </w:tr>
      <w:tr>
        <w:tc>
          <w:tcPr>
            <w:tcW w:type="dxa" w:w="3952"/>
            <w:vAlign w:val="center"/>
          </w:tcPr>
          <w:p>
            <w:pPr>
              <w:spacing w:line="283" w:lineRule="auto" w:after="0"/>
              <w:jc w:val="right"/>
              <w:bidi/>
            </w:pPr>
            <w:r>
              <w:rPr>
                <w:sz w:val="19"/>
              </w:rPr>
              <w:t>الباب الخامس عشر</w:t>
            </w:r>
          </w:p>
        </w:tc>
        <w:tc>
          <w:tcPr>
            <w:tcW w:type="dxa" w:w="3952"/>
            <w:vAlign w:val="center"/>
          </w:tcPr>
          <w:p>
            <w:pPr>
              <w:spacing w:line="283" w:lineRule="auto" w:after="0"/>
              <w:jc w:val="right"/>
              <w:bidi/>
            </w:pPr>
            <w:r>
              <w:rPr>
                <w:sz w:val="19"/>
              </w:rPr>
              <w:t>مدارس الوحدة السُّورية ونقد مناهجها</w:t>
            </w:r>
          </w:p>
        </w:tc>
      </w:tr>
      <w:tr>
        <w:tc>
          <w:tcPr>
            <w:tcW w:type="dxa" w:w="3952"/>
            <w:vAlign w:val="center"/>
          </w:tcPr>
          <w:p>
            <w:pPr>
              <w:spacing w:line="283" w:lineRule="auto" w:after="0"/>
              <w:jc w:val="right"/>
              <w:bidi/>
            </w:pPr>
            <w:r>
              <w:rPr>
                <w:sz w:val="19"/>
              </w:rPr>
              <w:t>الباب السادس عشر</w:t>
            </w:r>
          </w:p>
        </w:tc>
        <w:tc>
          <w:tcPr>
            <w:tcW w:type="dxa" w:w="3952"/>
            <w:vAlign w:val="center"/>
          </w:tcPr>
          <w:p>
            <w:pPr>
              <w:spacing w:line="283" w:lineRule="auto" w:after="0"/>
              <w:jc w:val="right"/>
              <w:bidi/>
            </w:pPr>
            <w:r>
              <w:rPr>
                <w:sz w:val="19"/>
              </w:rPr>
              <w:t>الخوارزمية والمصفوفة الحاسوبية للسورة</w:t>
            </w:r>
          </w:p>
        </w:tc>
      </w:tr>
      <w:tr>
        <w:tc>
          <w:tcPr>
            <w:tcW w:type="dxa" w:w="3952"/>
            <w:vAlign w:val="center"/>
          </w:tcPr>
          <w:p>
            <w:pPr>
              <w:spacing w:line="283" w:lineRule="auto" w:after="0"/>
              <w:jc w:val="right"/>
              <w:bidi/>
            </w:pPr>
            <w:r>
              <w:rPr>
                <w:sz w:val="19"/>
              </w:rPr>
              <w:t>الباب السابع عشر</w:t>
            </w:r>
          </w:p>
        </w:tc>
        <w:tc>
          <w:tcPr>
            <w:tcW w:type="dxa" w:w="3952"/>
            <w:vAlign w:val="center"/>
          </w:tcPr>
          <w:p>
            <w:pPr>
              <w:spacing w:line="283" w:lineRule="auto" w:after="0"/>
              <w:jc w:val="right"/>
              <w:bidi/>
            </w:pPr>
            <w:r>
              <w:rPr>
                <w:sz w:val="19"/>
              </w:rPr>
              <w:t>مختبرات تطبيقية في سور القرآن</w:t>
            </w:r>
          </w:p>
        </w:tc>
      </w:tr>
      <w:tr>
        <w:tc>
          <w:tcPr>
            <w:tcW w:type="dxa" w:w="3952"/>
            <w:vAlign w:val="center"/>
          </w:tcPr>
          <w:p>
            <w:pPr>
              <w:spacing w:line="283" w:lineRule="auto" w:after="0"/>
              <w:jc w:val="right"/>
              <w:bidi/>
            </w:pPr>
            <w:r>
              <w:rPr>
                <w:sz w:val="19"/>
              </w:rPr>
              <w:t>الباب الثامن عشر</w:t>
            </w:r>
          </w:p>
        </w:tc>
        <w:tc>
          <w:tcPr>
            <w:tcW w:type="dxa" w:w="3952"/>
            <w:vAlign w:val="center"/>
          </w:tcPr>
          <w:p>
            <w:pPr>
              <w:spacing w:line="283" w:lineRule="auto" w:after="0"/>
              <w:jc w:val="right"/>
              <w:bidi/>
            </w:pPr>
            <w:r>
              <w:rPr>
                <w:sz w:val="19"/>
              </w:rPr>
              <w:t>النظرية الجامعة وميثاق الباحث في الوحدة السُّورية</w:t>
            </w:r>
          </w:p>
        </w:tc>
      </w:tr>
    </w:tbl>
    <w:p/>
    <w:p>
      <w:pPr>
        <w:pStyle w:val="Heading1"/>
        <w:spacing w:line="283" w:lineRule="auto" w:after="120"/>
        <w:jc w:val="right"/>
        <w:keepNext/>
        <w:bidi/>
      </w:pPr>
      <w:r>
        <w:t>الباب الأول: ماهية الوحدة السُّورية وموضوع النظرية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معنى أن تكون السورة وحدةً في التفسير، وما الحد الفاصل بين الوحدة المثبتة والوحدة المفروضة؟ وتقوم فرضيته على أن الوحدة السُّورية بنيةٌ تستخرج من ترتيب السورة وروابطها ووظائف مقاطعها، ولا تفترض موضوعاً واحداً ولا شكلاً واحداً لجميع السور.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الوحدة والسورة والبنية.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الترتيب والاختبار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﴿كِتَابٌ أُحْكِمَتْ آيَاتُهُ ثُمَّ فُصِّلَتْ﴾ (هود: 1)، ويعضده قوله: ﴿الر كِتَابٌ أُحْكِمَتْ آيَاتُهُ﴾ (يونس: 1).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الوحدة من الاستعمال البلاغي العام، ويُربط بـالسورة والبنية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الوحدة والسورة لاكتشاف انتقالات السورة، ويُختبر كل انتقال بالسؤال عن أثره في البنية.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الوحدة إذا عجز عن السورة. كما لا يكفي أن يحقق اتساقاً في البنية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الوحدة إلى السورة بلا قرينة، أو تُستنتج البنية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الوحدة والسورة والبنية: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الوحدة السُّورية بنيةٌ تستخرج من ترتيب السورة وروابطها ووظائف مقاطعها، ولا تفترض موضوعاً واحداً ولا شكلاً واحداً لجميع السور. وتعمل بشرط أن يبقى الوحدة والسورة والبنية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الثاني: السورة بوصفها وحدةً منزلة وحدود الاستدلال بالترتيب</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أثر كون السورة محددة البداية والنهاية في عمل المفسر، وما الذي يثبته ترتيبها وما الذي لا يثبته؟ وتقوم فرضيته على أن حد السورة معطى نصي حاكم على التحليل، أما تفسير ترتيب كل جزئية ووظيفتها فيبقى اجتهاداً يحتاج إلى قرائن.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الحد والترتيب والنزول.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التلاوة والاجتهاد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﴿سُورَةٌ أَنزَلْنَاهَا وَفَرَضْنَاهَا﴾ (النور: 1)، ويعضده قوله: ﴿وَقُرْآنًا فَرَقْنَاهُ لِتَقْرَأَهُ عَلَى النَّاسِ عَلَىٰ مُكْثٍ﴾ (الإسراء: 106).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الحد من الاستعمال البلاغي العام، ويُربط بـالترتيب والنزول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الحد والترتيب لاكتشاف انتقالات السورة، ويُختبر كل انتقال بالسؤال عن أثره في النزول.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الحد إذا عجز عن الترتيب. كما لا يكفي أن يحقق اتساقاً في النزول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الحد إلى الترتيب بلا قرينة، أو تُستنتج النزول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الحد والترتيب والنزول: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حد السورة معطى نصي حاكم على التحليل، أما تفسير ترتيب كل جزئية ووظيفتها فيبقى اجتهاداً يحتاج إلى قرائن. وتعمل بشرط أن يبقى الحد والترتيب والنزول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الثالث: المطلع والخاتمة ووظيفتهما في بنية السورة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يعمل المطلع والخاتمة في توجيه قراءة السورة من غير أن يتحولا إلى قالب حاصر لكل تفاصيلها؟ وتقوم فرضيته على أن المطلع والخاتمة عقدتان عاليَتا الدلالة تُختبران ضمن الشبكة كلها، وقد تعلنان السؤال أو المعيار أو المآل من غير أن تختزلا السورة.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المطلع والخاتمة والمعيار.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المآل والعودة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﴿الْحَمْدُ لِلَّهِ رَبِّ الْعَالَمِينَ﴾ (الفاتحة: 2)، ويعضده قوله: ﴿مِنَ الْجِنَّةِ وَالنَّاسِ﴾ (الناس: 6).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المطلع من الاستعمال البلاغي العام، ويُربط بـالخاتمة والمعيار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المطلع والخاتمة لاكتشاف انتقالات السورة، ويُختبر كل انتقال بالسؤال عن أثره في المعيار.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المطلع إذا عجز عن الخاتمة. كما لا يكفي أن يحقق اتساقاً في المعيار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المطلع إلى الخاتمة بلا قرينة، أو تُستنتج المعيار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المطلع والخاتمة والمعيار: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المطلع والخاتمة عقدتان عاليَتا الدلالة تُختبران ضمن الشبكة كلها، وقد تعلنان السؤال أو المعيار أو المآل من غير أن تختزلا السورة. وتعمل بشرط أن يبقى المطلع والخاتمة والمعيار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الرابع: المقطع القرآني: تعريفه ومعايير حدوده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المقطع القرآني، وكيف تُثبت حدوده في غياب علامات الفقرات الحديثة؟ وتقوم فرضيته على أن المقطع وحدة خطابية يثبت حدها بتضافر تغيرات اللفظ والمخاطب والمشهد والوظيفة والروابط، لا بالطول أو الانطباع.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المقطع والحد والتحول.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الربط والوظيفة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﴿ثُمَّ صَرَفَكُمْ عَنْهُمْ لِيَبْتَلِيَكُمْ﴾ (آل عمران: 152)، ويعضده قوله: ﴿ذَٰلِكَ مِنْ أَنبَاءِ الْغَيْبِ نُوحِيهِ إِلَيْكَ﴾ (يوسف: 102).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المقطع من الاستعمال البلاغي العام، ويُربط بـالحد والتحول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المقطع والحد لاكتشاف انتقالات السورة، ويُختبر كل انتقال بالسؤال عن أثره في التحول.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المقطع إذا عجز عن الحد. كما لا يكفي أن يحقق اتساقاً في التحول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المقطع إلى الحد بلا قرينة، أو تُستنتج التحول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المقطع والحد والتحول: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المقطع وحدة خطابية يثبت حدها بتضافر تغيرات اللفظ والمخاطب والمشهد والوظيفة والروابط، لا بالطول أو الانطباع. وتعمل بشرط أن يبقى المقطع والحد والتحول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الخامس: الروابط والانتقالات بين المقاطع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تنتقل السورة بين موضوع وآخر ومشهد وآخر مع بقاء بنائها، ومتى يكون الانتقال قطيعةً ومتى يكون جسراً؟ وتقوم فرضيته على أن الانتقال نفسه عنصر بياني؛ وقد يكون تفصيلاً أو مقابلةً أو نقلاً من المثال إلى القاعدة أو من الدنيا إلى المآل.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الانتقال والجسر والمقابلة.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التفصيل والاستئناف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﴿ثُمَّ أَنشَأْنَا مِن بَعْدِهِمْ قُرُونًا آخَرِينَ﴾ (المؤمنون: 42)، ويعضده قوله: ﴿ثُمَّ إِنَّكُم بَعْدَ ذَٰلِكَ لَمَيِّتُونَ﴾ (المؤمنون: 15).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الانتقال من الاستعمال البلاغي العام، ويُربط بـالجسر والمقابلة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الانتقال والجسر لاكتشاف انتقالات السورة، ويُختبر كل انتقال بالسؤال عن أثره في المقابلة.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الانتقال إذا عجز عن الجسر. كما لا يكفي أن يحقق اتساقاً في المقابلة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الانتقال إلى الجسر بلا قرينة، أو تُستنتج المقابلة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الانتقال والجسر والمقابلة: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الانتقال نفسه عنصر بياني؛ وقد يكون تفصيلاً أو مقابلةً أو نقلاً من المثال إلى القاعدة أو من الدنيا إلى المآل. وتعمل بشرط أن يبقى الانتقال والجسر والمقابلة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السادس: المحور والبؤرة والمقصد: الفروق والمراتب</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الفرق بين محور السورة وبؤرتها ومقصدها وسؤالها، وهل يجب أن تملك كل سورة محوراً واحداً؟ وتقوم فرضيته على أن المحور علاقة تنظيمية بين المقاطع، والبؤرة عقدة دلالية، والمقصد اتجاه، والسؤال مشكلة خطابية؛ وقد تتعدد المراكز من غير سقوط الوحدة.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المحور والبؤرة والمقصد.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السؤال والتعدد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﴿هُدًى لِّلْمُتَّقِينَ﴾ (البقرة: 2)، ويعضده قوله: ﴿لِيَقُومَ النَّاسُ بِالْقِسْطِ﴾ (الحديد: 25).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المحور من الاستعمال البلاغي العام، ويُربط بـالبؤرة والمقصد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المحور والبؤرة لاكتشاف انتقالات السورة، ويُختبر كل انتقال بالسؤال عن أثره في المقصد.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المحور إذا عجز عن البؤرة. كما لا يكفي أن يحقق اتساقاً في المقصد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المحور إلى البؤرة بلا قرينة، أو تُستنتج المقصد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المحور والبؤرة والمقصد: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المحور علاقة تنظيمية بين المقاطع، والبؤرة عقدة دلالية، والمقصد اتجاه، والسؤال مشكلة خطابية؛ وقد تتعدد المراكز من غير سقوط الوحدة. وتعمل بشرط أن يبقى المحور والبؤرة والمقصد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السابع: التكرار واللوازم والإيقاع في توحيد السورة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وظيفة التكرار واللوازم والفواصل والإيقاع في بناء الوحدة، ومتى تكون القرينة الصوتية خادمةً لا حاكمة؟ وتقوم فرضيته على أن التكرار قد ينظم المقاطع ويعيد المعيار ويقيس التحولات، لكنه لا يثبت وحدةً معنويةً مستقلاً عن اللسان والسياق.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التكرار واللازمة والفاصلة.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الإيقاع والتنظيم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﴿فَبِأَيِّ آلَاءِ رَبِّكُمَا تُكَذِّبَانِ﴾ (الرحمن: 13)، ويعضده قوله: ﴿فَكَيْفَ كَانَ عَذَابِي وَنُذُرِ﴾ (القمر: 16).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التكرار من الاستعمال البلاغي العام، ويُربط بـاللازمة والفاصلة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التكرار واللازمة لاكتشاف انتقالات السورة، ويُختبر كل انتقال بالسؤال عن أثره في الفاصلة.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التكرار إذا عجز عن اللازمة. كما لا يكفي أن يحقق اتساقاً في الفاصلة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التكرار إلى اللازمة بلا قرينة، أو تُستنتج الفاصلة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التكرار واللازمة والفاصلة: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التكرار قد ينظم المقاطع ويعيد المعيار ويقيس التحولات، لكنه لا يثبت وحدةً معنويةً مستقلاً عن اللسان والسياق. وتعمل بشرط أن يبقى التكرار واللازمة والفاصلة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الثامن: القصص والحوار والمشاهد داخل الوحدة السُّورية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تدخل القصة والحوار وتغير المشاهد في بناء السورة من غير أن تتحول القصص إلى وحدات منعزلة؟ وتقوم فرضيته على أن القصة في السورة تؤدي وظيفةً محليةً تحددها مواضعها ومقابلتها وما يسبقها ويلحقها، ولا يكفي جمع القصة من سور أخرى لفهم وظيفتها هنا.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القصة والحوار والمشهد.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الشخصية والوظيفة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﴿نَحْنُ نَقُصُّ عَلَيْكَ أَحْسَنَ الْقَصَصِ﴾ (يوسف: 3)، ويعضده قوله: ﴿وَكُلًّا نَّقُصُّ عَلَيْكَ مِنْ أَنبَاءِ الرُّسُلِ مَا نُثَبِّتُ بِهِ فُؤَادَكَ﴾ (هود: 120).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القصة من الاستعمال البلاغي العام، ويُربط بـالحوار والمشهد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القصة والحوار لاكتشاف انتقالات السورة، ويُختبر كل انتقال بالسؤال عن أثره في المشهد.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القصة إذا عجز عن الحوار. كما لا يكفي أن يحقق اتساقاً في المشهد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القصة إلى الحوار بلا قرينة، أو تُستنتج المشهد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القصة والحوار والمشهد: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القصة في السورة تؤدي وظيفةً محليةً تحددها مواضعها ومقابلتها وما يسبقها ويلحقها، ولا يكفي جمع القصة من سور أخرى لفهم وظيفتها هنا. وتعمل بشرط أن يبقى القصة والحوار والمشهد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التاسع: الحجاج والتقابل والجدل وبنية البرهان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تنظم السورة الحجج والاعتراضات والأجوبة والتقابلات، وما أثر ذلك في تفسير الآيات المفردة؟ وتقوم فرضيته على أن الحجاج شبكة من دعاوى وأدلة واعتراضات ومآلات، وتحديد موقع الآية الحجاجي قد يغير فهم عمومها أو وظيفة مثالها.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الحجاج والدعوى والبرهان.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الاعتراض والجواب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﴿قُلْ هَاتُوا بُرْهَانَكُمْ﴾ (البقرة: 111)، ويعضده قوله: ﴿قُلْ فَلِلَّهِ الْحُجَّةُ الْبَالِغَةُ﴾ (الأنعام: 149).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الحجاج من الاستعمال البلاغي العام، ويُربط بـالدعوى والبرهان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الحجاج والدعوى لاكتشاف انتقالات السورة، ويُختبر كل انتقال بالسؤال عن أثره في البرهان.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الحجاج إذا عجز عن الدعوى. كما لا يكفي أن يحقق اتساقاً في البرهان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الحجاج إلى الدعوى بلا قرينة، أو تُستنتج البرهان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الحجاج والدعوى والبرهان: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الحجاج شبكة من دعاوى وأدلة واعتراضات ومآلات، وتحديد موقع الآية الحجاجي قد يغير فهم عمومها أو وظيفة مثالها. وتعمل بشرط أن يبقى الحجاج والدعوى والبرهان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العاشر: الأحكام والتشريع داخل نظام السورة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تدخل آيات الأحكام في بنية السورة، وهل يجوز عزلها عن سياقها التشريعي والأخلاقي والحجاجي؟ وتقوم فرضيته على أن الحكم جزء من خطاب السورة، وقد يرتبط بالتقوى أو العدل أو الميثاق أو الأسرة أو المال، ولا يُلغى حكمه بالسياق ولا يُفصل عن شروطه ووظيفته.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الحكم والتشريع والقيد.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الحق والمقصد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﴿كُتِبَ عَلَيْكُمُ الصِّيَامُ﴾ (البقرة: 183)، ويعضده قوله: ﴿كُونُوا قَوَّامِينَ بِالْقِسْطِ﴾ (النساء: 135).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الحكم من الاستعمال البلاغي العام، ويُربط بـالتشريع والقيد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الحكم والتشريع لاكتشاف انتقالات السورة، ويُختبر كل انتقال بالسؤال عن أثره في القيد.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الحكم إذا عجز عن التشريع. كما لا يكفي أن يحقق اتساقاً في القيد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الحكم إلى التشريع بلا قرينة، أو تُستنتج القيد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الحكم والتشريع والقيد: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الحكم جزء من خطاب السورة، وقد يرتبط بالتقوى أو العدل أو الميثاق أو الأسرة أو المال، ولا يُلغى حكمه بالسياق ولا يُفصل عن شروطه ووظيفته. وتعمل بشرط أن يبقى الحكم والتشريع والقيد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الحادي عشر: المحكم والمتشابه والتصريف بين السور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تجمع الوحدة السُّورية خصوصية موضع الآية مع تصريف الموضوع نفسه في سور أخرى؟ وتقوم فرضيته على أن تبدأ القراءة بالسورة، ثم تُقارن بالنظائر والمحكمات من خارجها؛ فلا يذيب التصريف خصوصية الموضع ولا تحبس السورة المعنى عن بقية القرآن.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المحكم والمتشابه والتصريف.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النظير والخصوصية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﴿اللَّهُ نَزَّلَ أَحْسَنَ الْحَدِيثِ كِتَابًا مُّتَشَابِهًا مَّثَانِيَ﴾ (الزمر: 23)، ويعضده قوله: ﴿هُوَ الَّذِي أَنزَلَ عَلَيْكَ الْكِتَابَ مِنْهُ آيَاتٌ مُّحْكَمَاتٌ﴾ (آل عمران: 7).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المحكم من الاستعمال البلاغي العام، ويُربط بـالمتشابه والتصريف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المحكم والمتشابه لاكتشاف انتقالات السورة، ويُختبر كل انتقال بالسؤال عن أثره في التصريف.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المحكم إذا عجز عن المتشابه. كما لا يكفي أن يحقق اتساقاً في التصريف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المحكم إلى المتشابه بلا قرينة، أو تُستنتج التصريف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المحكم والمتشابه والتصريف: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تبدأ القراءة بالسورة، ثم تُقارن بالنظائر والمحكمات من خارجها؛ فلا يذيب التصريف خصوصية الموضع ولا تحبس السورة المعنى عن بقية القرآن. وتعمل بشرط أن يبقى المحكم والمتشابه والتصريف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الثاني عشر: أنماط الوحدة السُّورية وتعدد البنى</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هل جميع السور تتحد بالنمط نفسه، أم أن للقرآن أنماطاً متعددة من البناء والوحدة؟ وتقوم فرضيته على أن تتنوع الوحدات بحسب السورة: محورية أو حجاجية أو قصصية أو تقابلية أو سننية أو مركبة، ولا يجوز فرض النموذج الحلقي أو الموضوع الواحد على الجميع.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النمط والحلقي والخطي.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المركب والتنوع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﴿كُلًّا نُّمِدُّ هَٰؤُلَاءِ وَهَٰؤُلَاءِ﴾ (الإسراء: 20)، ويعضده قوله: ﴿لِكُلٍّ جَعَلْنَا مِنكُمْ شِرْعَةً وَمِنْهَاجًا﴾ (المائدة: 48).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النمط من الاستعمال البلاغي العام، ويُربط بـالحلقي والخطي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النمط والحلقي لاكتشاف انتقالات السورة، ويُختبر كل انتقال بالسؤال عن أثره في الخطي.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النمط إذا عجز عن الحلقي. كما لا يكفي أن يحقق اتساقاً في الخطي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النمط إلى الحلقي بلا قرينة، أو تُستنتج الخطي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النمط والحلقي والخطي: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تتنوع الوحدات بحسب السورة: محورية أو حجاجية أو قصصية أو تقابلية أو سننية أو مركبة، ولا يجوز فرض النموذج الحلقي أو الموضوع الواحد على الجميع. وتعمل بشرط أن يبقى النمط والحلقي والخطي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الثالث عشر: ترجيح نماذج تقسيم السورة ووحدتها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نرجح بين تقسيمين مختلفين للسورة أو بين فرضيتين لمحورها؟ وتقوم فرضيته على أن الترجيح يكون بالقدرة التفسيرية والشمول والاقتصاد وعدم إخسار المقاطع والاتساق مع الروابط والحدود، مع اختبار الآيات الصعبة والبدائل.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الترجيح والفرضية والاقتصاد.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الشمول والحالة الحدية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﴿الَّذِينَ يَسْتَمِعُونَ الْقَوْلَ فَيَتَّبِعُونَ أَحْسَنَهُ﴾ (الزمر: 18)، ويعضده قوله: ﴿وَلَا تَقْفُ مَا لَيْسَ لَكَ بِهِ عِلْمٌ﴾ (الإسراء: 36).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الترجيح من الاستعمال البلاغي العام، ويُربط بـالفرضية والاقتصاد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الترجيح والفرضية لاكتشاف انتقالات السورة، ويُختبر كل انتقال بالسؤال عن أثره في الاقتصاد.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الترجيح إذا عجز عن الفرضية. كما لا يكفي أن يحقق اتساقاً في الاقتصاد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الترجيح إلى الفرضية بلا قرينة، أو تُستنتج الاقتصاد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الترجيح والفرضية والاقتصاد: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الترجيح يكون بالقدرة التفسيرية والشمول والاقتصاد وعدم إخسار المقاطع والاتساق مع الروابط والحدود، مع اختبار الآيات الصعبة والبدائل. وتعمل بشرط أن يبقى الترجيح والفرضية والاقتصاد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الرابع عشر: الوحدة السُّورية والتفسير الموضوعي والمقاصدي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علاقة الوحدة السُّورية بالتفسير الموضوعي والمقاصدي، وكيف نتجنب خلط مستويات التحليل؟ وتقوم فرضيته على أن الوحدة السُّورية تحدد وظيفة المواضع داخل السورة، والوحدة الموضوعية تجمع عبر السور، والمقصد يصف اتجاه البنية بعد ثبوتها؛ ولا يُستبدل مستوى بآخر.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السورة والموضوع والمقصد.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المستوى والوظيفة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﴿أَفَلَا يَتَدَبَّرُونَ الْقُرْآنَ﴾ (محمد: 24)، ويعضده قوله: ﴿كِتَابٌ أَنزَلْنَاهُ إِلَيْكَ مُبَارَكٌ لِّيَدَّبَّرُوا آيَاتِهِ﴾ (ص: 29).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السورة من الاستعمال البلاغي العام، ويُربط بـالموضوع والمقصد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السورة والموضوع لاكتشاف انتقالات السورة، ويُختبر كل انتقال بالسؤال عن أثره في المقصد.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السورة إذا عجز عن الموضوع. كما لا يكفي أن يحقق اتساقاً في المقصد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السورة إلى الموضوع بلا قرينة، أو تُستنتج المقصد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السورة والموضوع والمقصد: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الوحدة السُّورية تحدد وظيفة المواضع داخل السورة، والوحدة الموضوعية تجمع عبر السور، والمقصد يصف اتجاه البنية بعد ثبوتها؛ ولا يُستبدل مستوى بآخر. وتعمل بشرط أن يبقى السورة والموضوع والمقصد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الخامس عشر: مدارس الوحدة السُّورية ونقد مناهجها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الذي قدمته مدارس نظم السورة والوحدة العضوية والبنية الحلقية، وما حدود كل منها؟ وتقوم فرضيته على أن تُستوعب المدارس بوصفها أدوات وفرضيات، ويُرفض تحويل أي نموذج إلى قانون كلي أو سلطة فوق النص.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المدرسة والنظم والحلقية.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العضوية والنقد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﴿فَبَشِّرْ عِبَادِ الَّذِينَ يَسْتَمِعُونَ الْقَوْلَ﴾ (الزمر: 17-18)، ويعضده قوله: ﴿وَفَوْقَ كُلِّ ذِي عِلْمٍ عَلِيمٌ﴾ (يوسف: 76).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المدرسة من الاستعمال البلاغي العام، ويُربط بـالنظم والحلقية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المدرسة والنظم لاكتشاف انتقالات السورة، ويُختبر كل انتقال بالسؤال عن أثره في الحلقية.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المدرسة إذا عجز عن النظم. كما لا يكفي أن يحقق اتساقاً في الحلقية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المدرسة إلى النظم بلا قرينة، أو تُستنتج الحلقية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المدرسة والنظم والحلقية: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تُستوعب المدارس بوصفها أدوات وفرضيات، ويُرفض تحويل أي نموذج إلى قانون كلي أو سلطة فوق النص. وتعمل بشرط أن يبقى المدرسة والنظم والحلقية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السادس عشر: الخوارزمية والمصفوفة الحاسوبية للسورة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تمثل الوحدة السُّورية حاسوبياً من غير أن تتحول الحدود والمحاور إلى حقائق رقمية مغلقة؟ وتقوم فرضيته على أن يُمثل المقطع والعلاقة والمحور والدرجة كفرضيات موثقة قابلة للتعديل، ويظل النظام مساعداً على المقارنة لا شاهداً على مراد الله.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المصفوفة والكيان والعلاقة.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الدرجة والإصدار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﴿عَلَّمَ بِالْقَلَمِ﴾ (العلق: 4)، ويعضده قوله: ﴿عَلَّمَ الْإِنسَانَ مَا لَمْ يَعْلَمْ﴾ (العلق: 5).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المصفوفة من الاستعمال البلاغي العام، ويُربط بـالكيان والعلاقة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المصفوفة والكيان لاكتشاف انتقالات السورة، ويُختبر كل انتقال بالسؤال عن أثره في العلاقة.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المصفوفة إذا عجز عن الكيان. كما لا يكفي أن يحقق اتساقاً في العلاقة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المصفوفة إلى الكيان بلا قرينة، أو تُستنتج العلاقة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المصفوفة والكيان والعلاقة: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يُمثل المقطع والعلاقة والمحور والدرجة كفرضيات موثقة قابلة للتعديل، ويظل النظام مساعداً على المقارنة لا شاهداً على مراد الله. وتعمل بشرط أن يبقى المصفوفة والكيان والعلاقة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السابع عشر: مختبرات تطبيقية في سور القرآن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هل تستطيع النظرية تفسير سور طويلة وقصيرة وقصصية وتشريعية وحجاجية من غير تغيير قواعدها الأساسية؟ وتقوم فرضيته على أن تُختبر النظرية على أنماط مختلفة، وتنجح إذا سمحت بتنوع البنية مع ثبات معايير الدليل والمراجعة.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المختبر والتنوع والطويلة.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القصيرة والتطبيق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﴿قُلْ فَأْتُوا بِسُورَةٍ مِّثْلِهِ﴾ (يونس: 38)، ويعضده قوله: ﴿فَأْتُوا بِسُورَةٍ مِّن مِّثْلِهِ﴾ (البقرة: 23).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المختبر من الاستعمال البلاغي العام، ويُربط بـالتنوع والطويلة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المختبر والتنوع لاكتشاف انتقالات السورة، ويُختبر كل انتقال بالسؤال عن أثره في الطويلة.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المختبر إذا عجز عن التنوع. كما لا يكفي أن يحقق اتساقاً في الطويلة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المختبر إلى التنوع بلا قرينة، أو تُستنتج الطويلة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المختبر والتنوع والطويلة: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تُختبر النظرية على أنماط مختلفة، وتنجح إذا سمحت بتنوع البنية مع ثبات معايير الدليل والمراجعة. وتعمل بشرط أن يبقى المختبر والتنوع والطويلة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الباب الثامن عشر: النظرية الجامعة وميثاق الباحث في الوحدة السُّورية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الصيغة النهائية لنظرية الوحدة السُّورية، وما التزامات الباحث عند تقسيم السورة وترجيح محورها؟ وتقوم فرضيته على أن الوحدة علم ببنية السورة بقدر الدليل، وميثاق الباحث يمنع القطع بالحدود الاجتهادية ويُلزمه بعرض الفرضيات المنافسة والمقاطع النافية. ولا تُقبل هذه الفرضية لمجرد جمالها أو انسجامها مع تصور سابق للسورة، بل تُختبر على جميع المقاطع والانتقالات والآيات الحدية.</w:t>
      </w:r>
    </w:p>
    <w:p>
      <w:pPr>
        <w:spacing w:line="283" w:lineRule="auto" w:after="80"/>
        <w:ind w:firstLine="397"/>
        <w:jc w:val="both"/>
        <w:bidi/>
      </w:pPr>
      <w:r>
        <w:t>تتركز المسألة في مفاهيم النظرية والميثاق والحد. ويجب تحريرها قبل رسم بنية السورة؛ لأن لفظاً مثل «المحور» قد يعني موضوعاً مركزياً أو سؤالاً حجاجياً أو مآلاً، واختلاف التعريف يغير التقسيم كله.</w:t>
      </w:r>
    </w:p>
    <w:p>
      <w:pPr>
        <w:spacing w:line="283" w:lineRule="auto" w:after="80"/>
        <w:ind w:firstLine="397"/>
        <w:jc w:val="both"/>
        <w:bidi/>
      </w:pPr>
      <w:r>
        <w:t>يُفصل بين المراجعة والمآل حتى لا تتحول الوحدة إلى حكم كلي غير قابل للفحص. ويُسأل دائماً: ما البيانات النصية التي يفسرها هذا النموذج؟ وما المقاطع التي يعجز عنها؟</w:t>
      </w:r>
    </w:p>
    <w:p>
      <w:pPr>
        <w:spacing w:line="283" w:lineRule="auto" w:after="80"/>
        <w:ind w:firstLine="397"/>
        <w:jc w:val="both"/>
        <w:bidi/>
      </w:pPr>
      <w:r>
        <w:t>الهدف من الباب ليس إثبات أن كل سورة تملك شكلاً واحداً مثالياً، بل بناء لغة علمية تسمح بوصف البنية ودرجات الثقة، وبالمقارنة بين نماذج متعددة من غير إلغاء خصوصية السورة.</w:t>
      </w:r>
    </w:p>
    <w:p>
      <w:pPr>
        <w:spacing w:line="283" w:lineRule="auto" w:after="80"/>
        <w:ind w:firstLine="397"/>
        <w:jc w:val="both"/>
        <w:bidi/>
      </w:pPr>
      <w:r>
        <w:t>تكون نتيجة الباب صالحةً إذا أمكن تحويلها إلى معايير لتحديد المقاطع والعلاقات والمحاور، وإذا أمكن لباحث آخر أن يعيد التحليل ويعرف سبب الاتفاق أو الاختلاف.</w:t>
      </w:r>
    </w:p>
    <w:p>
      <w:pPr>
        <w:pStyle w:val="Heading2"/>
        <w:spacing w:line="283" w:lineRule="auto" w:after="120"/>
        <w:jc w:val="right"/>
        <w:keepNext/>
        <w:bidi/>
      </w:pPr>
      <w:r>
        <w:t>الأصل القرآني والتحرير المفهومي</w:t>
      </w:r>
    </w:p>
    <w:p>
      <w:pPr>
        <w:spacing w:line="283" w:lineRule="auto" w:after="80"/>
        <w:ind w:firstLine="397"/>
        <w:jc w:val="both"/>
        <w:bidi/>
      </w:pPr>
      <w:r>
        <w:t>يحضر الأصل القرآني في قوله تعالى: ﴿وَقُل رَّبِّ زِدْنِي عِلْمًا﴾ (طه: 114)، ويعضده قوله: ﴿وَفَوْقَ كُلِّ ذِي عِلْمٍ عَلِيمٌ﴾ (يوسف: 76). ولا تُستعمل الآيتان لإثبات نموذج شكلي، بل لتأكيد أن النص المنزل منظم ومحكم ومفصل، وأن تدبره مسؤولية علمية.</w:t>
      </w:r>
    </w:p>
    <w:p>
      <w:pPr>
        <w:spacing w:line="283" w:lineRule="auto" w:after="80"/>
        <w:ind w:firstLine="397"/>
        <w:jc w:val="both"/>
        <w:bidi/>
      </w:pPr>
      <w:r>
        <w:t>يُحرر مفهوم النظرية من الاستعمال البلاغي العام، ويُربط بـالميثاق والحد داخل السورة. ويجب ألا يُستورد تعريف من نظرية أدبية حديثة ثم يُسقط على القرآن من غير اختبار.</w:t>
      </w:r>
    </w:p>
    <w:p>
      <w:pPr>
        <w:spacing w:line="283" w:lineRule="auto" w:after="80"/>
        <w:ind w:firstLine="397"/>
        <w:jc w:val="both"/>
        <w:bidi/>
      </w:pPr>
      <w:r>
        <w:t>السورة حد نصي ثابت، أما حدود المقاطع والمحاور فاجتهادية. وهذا التفريق حاكم؛ لأن الباحث قد يخطئ في تقسيم السورة من غير أن يتغير النص نفسه، ولذلك تحفظ النظرية درجات الثقة ولا تقدس النموذج.</w:t>
      </w:r>
    </w:p>
    <w:p>
      <w:pPr>
        <w:spacing w:line="283" w:lineRule="auto" w:after="80"/>
        <w:ind w:firstLine="397"/>
        <w:jc w:val="both"/>
        <w:bidi/>
      </w:pPr>
      <w:r>
        <w:t>تعمل حاكمية القرآن هنا بأن يُسمح للنص أن يصحح فرضية الوحدة. فإذا ظهرت آيات لا تدخل في المحور إلا بتأويل متكلف، كانت تلك الآيات اعتراضاً على النموذج لا مادةً ينبغي إسكاتها.</w:t>
      </w:r>
    </w:p>
    <w:p>
      <w:pPr>
        <w:spacing w:line="283" w:lineRule="auto" w:after="80"/>
        <w:ind w:firstLine="397"/>
        <w:jc w:val="both"/>
        <w:bidi/>
      </w:pPr>
      <w:r>
        <w:t>تنتهي الطبقة المفهومية إلى تعريفات تشغيلية: السورة إطار منزل، والمقطع وحدة خطابية مستدل عليها، والمحور علاقة تنظيمية، والمقصد اتجاه، والبؤرة عقدة دلالية؛ ولا يُستعمل واحد منها مرادفاً للآخر.</w:t>
      </w:r>
    </w:p>
    <w:p>
      <w:pPr>
        <w:pStyle w:val="Heading2"/>
        <w:spacing w:line="283" w:lineRule="auto" w:after="120"/>
        <w:jc w:val="right"/>
        <w:keepNext/>
        <w:bidi/>
      </w:pPr>
      <w:r>
        <w:t>أدوات تحليل السورة</w:t>
      </w:r>
    </w:p>
    <w:p>
      <w:pPr>
        <w:spacing w:line="283" w:lineRule="auto" w:after="80"/>
        <w:ind w:firstLine="397"/>
        <w:jc w:val="both"/>
        <w:bidi/>
      </w:pPr>
      <w:r>
        <w:t>تبدأ أدوات التحليل بتثبيت النص والقراءات ثم رصد الضمائر والروابط والاستئنافات والنداءات والأوامر والقصص والأمثال واللوازم والفواصل. وبعد ذلك تُقترح حدود أولية للمقاطع، لا العكس.</w:t>
      </w:r>
    </w:p>
    <w:p>
      <w:pPr>
        <w:spacing w:line="283" w:lineRule="auto" w:after="80"/>
        <w:ind w:firstLine="397"/>
        <w:jc w:val="both"/>
        <w:bidi/>
      </w:pPr>
      <w:r>
        <w:t>تُستخدم أدوات النظرية والميثاق لاكتشاف انتقالات السورة، ويُختبر كل انتقال بالسؤال عن أثره في الحد. وقد يكون التغير في المخاطب أقوى من تغير الموضوع، أو يكون تكرار اللازمة أقوى من وحدة المعجم.</w:t>
      </w:r>
    </w:p>
    <w:p>
      <w:pPr>
        <w:spacing w:line="283" w:lineRule="auto" w:after="80"/>
        <w:ind w:firstLine="397"/>
        <w:jc w:val="both"/>
        <w:bidi/>
      </w:pPr>
      <w:r>
        <w:t>يجب تسجيل القرائن المؤيدة والقرائن النافية لكل حد مقطعي. فإذا دعم الحد تغير المخاطب والموضوع والأسلوب، كانت درجته أعلى من حد يعتمد على شعور القارئ وحده.</w:t>
      </w:r>
    </w:p>
    <w:p>
      <w:pPr>
        <w:spacing w:line="283" w:lineRule="auto" w:after="80"/>
        <w:ind w:firstLine="397"/>
        <w:jc w:val="both"/>
        <w:bidi/>
      </w:pPr>
      <w:r>
        <w:t>تُبنى خريطة للمطلع والخاتمة والمقاطع والروابط، ثم تُجرّب أكثر من فرضية للمحور أو البنية. ويُمنع أن تُعد الخريطة نفسها دليلاً؛ فهي وسيلة عرض للقرائن وليست قرينة مستقلة.</w:t>
      </w:r>
    </w:p>
    <w:p>
      <w:pPr>
        <w:spacing w:line="283" w:lineRule="auto" w:after="80"/>
        <w:ind w:firstLine="397"/>
        <w:jc w:val="both"/>
        <w:bidi/>
      </w:pPr>
      <w:r>
        <w:t>تُستخدم المقارنة بين السور بعد اكتمال التحليل المحلي، وبخاصة في القصص والتشريع والمفاهيم المتكررة، حتى يُعرف ما يختص به الموضع وما يشترك فيه مع التصريف القرآني العام.</w:t>
      </w:r>
    </w:p>
    <w:p>
      <w:pPr>
        <w:pStyle w:val="Heading2"/>
        <w:spacing w:line="283" w:lineRule="auto" w:after="120"/>
        <w:jc w:val="right"/>
        <w:keepNext/>
        <w:bidi/>
      </w:pPr>
      <w:r>
        <w:t>معايير الإثبات والترجيح</w:t>
      </w:r>
    </w:p>
    <w:p>
      <w:pPr>
        <w:spacing w:line="283" w:lineRule="auto" w:after="80"/>
        <w:ind w:firstLine="397"/>
        <w:jc w:val="both"/>
        <w:bidi/>
      </w:pPr>
      <w:r>
        <w:t>تُقاس قوة نموذج الوحدة بخمسة معايير: تفسير جميع المقاطع، ووضوح الروابط، وعدم إخسار الآيات الصعبة، والاقتصاد في الفرضيات، والاتساق مع سياق السورة والقرآن.</w:t>
      </w:r>
    </w:p>
    <w:p>
      <w:pPr>
        <w:spacing w:line="283" w:lineRule="auto" w:after="80"/>
        <w:ind w:firstLine="397"/>
        <w:jc w:val="both"/>
        <w:bidi/>
      </w:pPr>
      <w:r>
        <w:t>لا يكفي أن يفسر النموذج النظرية إذا عجز عن الميثاق. كما لا يكفي أن يحقق اتساقاً في الحد إذا كان يحتاج إلى إعادة تعريف كل انتقال حتى يلائم الفرضية.</w:t>
      </w:r>
    </w:p>
    <w:p>
      <w:pPr>
        <w:spacing w:line="283" w:lineRule="auto" w:after="80"/>
        <w:ind w:firstLine="397"/>
        <w:jc w:val="both"/>
        <w:bidi/>
      </w:pPr>
      <w:r>
        <w:t>تُعطى الفرضية المنافسة حقها الكامل: يُبنى تقسيم بديل مع أقوى أدلته، ثم تُقارن القدرة التفسيرية لا شهرة أصحاب الأقوال. ويجوز أن تبقى نتيجتان راجحتان إذا تقاربت القرائن.</w:t>
      </w:r>
    </w:p>
    <w:p>
      <w:pPr>
        <w:spacing w:line="283" w:lineRule="auto" w:after="80"/>
        <w:ind w:firstLine="397"/>
        <w:jc w:val="both"/>
        <w:bidi/>
      </w:pPr>
      <w:r>
        <w:t>تُستخدم الحالات الحدية عمداً: الآية التي تبدو خارج المحور، والمقطع التشريعي داخل سورة حجاجية، والقصة القصيرة داخل خطاب عقدي. فإذا فشل النموذج فيها وجب تقييده أو تغييره.</w:t>
      </w:r>
    </w:p>
    <w:p>
      <w:pPr>
        <w:spacing w:line="283" w:lineRule="auto" w:after="80"/>
        <w:ind w:firstLine="397"/>
        <w:jc w:val="both"/>
        <w:bidi/>
      </w:pPr>
      <w:r>
        <w:t>يُصاغ الحكم بدرجات: محكم، وراجح، ومحتمل، واستكشافي، ومتعارض، ومتوقف فيه. ولا تُستعمل عبارة «الوحدة واضحة» من غير بيان أدلتها وحدودها.</w:t>
      </w:r>
    </w:p>
    <w:p>
      <w:pPr>
        <w:pStyle w:val="Heading2"/>
        <w:spacing w:line="283" w:lineRule="auto" w:after="120"/>
        <w:jc w:val="right"/>
        <w:keepNext/>
        <w:bidi/>
      </w:pPr>
      <w:r>
        <w:t>المخاطر والمغالطات</w:t>
      </w:r>
    </w:p>
    <w:p>
      <w:pPr>
        <w:spacing w:line="283" w:lineRule="auto" w:after="80"/>
        <w:ind w:firstLine="397"/>
        <w:jc w:val="both"/>
        <w:bidi/>
      </w:pPr>
      <w:r>
        <w:t>أخطر المغالطات هي مغالطة الموضوع الواحد: أن يختار الباحث كلمةً أو فكرةً ثم يعيد تفسير كل السورة لخدمتها. وتُعالج بإلزامه بتقديم المقاطع التي لا تدخل في الموضوع وشرح وظيفتها من غير تكلف.</w:t>
      </w:r>
    </w:p>
    <w:p>
      <w:pPr>
        <w:spacing w:line="283" w:lineRule="auto" w:after="80"/>
        <w:ind w:firstLine="397"/>
        <w:jc w:val="both"/>
        <w:bidi/>
      </w:pPr>
      <w:r>
        <w:t>تظهر مغالطة ثانية حين تُحوَّل النظرية إلى الميثاق بلا قرينة، أو تُستنتج الحد من مجرد التكرار. فالارتباط الإحصائي لا يساوي علاقةً بيانيةً حاكمة.</w:t>
      </w:r>
    </w:p>
    <w:p>
      <w:pPr>
        <w:spacing w:line="283" w:lineRule="auto" w:after="80"/>
        <w:ind w:firstLine="397"/>
        <w:jc w:val="both"/>
        <w:bidi/>
      </w:pPr>
      <w:r>
        <w:t>ومن المغالطات تقسيم السورة وفق الصفحات والمصاحف الحديثة، أو عد كل التفات انتقالاً مقطعياً، أو افتراض البنية الحلقية لمجرد تشابه المطلع والخاتمة، أو جعل عدد المقاطع المتناظر دليلاً على القصد.</w:t>
      </w:r>
    </w:p>
    <w:p>
      <w:pPr>
        <w:spacing w:line="283" w:lineRule="auto" w:after="80"/>
        <w:ind w:firstLine="397"/>
        <w:jc w:val="both"/>
        <w:bidi/>
      </w:pPr>
      <w:r>
        <w:t>وقد تتحول الوحدة السُّورية إلى أداة ضد التفسير الموروث، فيُرد كل قول لا يدخل في المحور الجديد. والمنهج البياني لا يجعل نموذج الوحدة حاكماً فوق القرآن أو السنة الثابتة أو اللغة، بل أداة تفسير قابلة للمراجعة.</w:t>
      </w:r>
    </w:p>
    <w:p>
      <w:pPr>
        <w:spacing w:line="283" w:lineRule="auto" w:after="80"/>
        <w:ind w:firstLine="397"/>
        <w:jc w:val="both"/>
        <w:bidi/>
      </w:pPr>
      <w:r>
        <w:t>تُمنع الحوسبة من إضفاء اليقين على المقاطع والمحاور؛ فالخوارزمية تستطيع اقتراح التشابه والانتقالات، لكنها لا تشهد على قصد الله، ولا تعوض قراءة اللسان والسياق والوظيفة.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سورة أو مقطع يمثل نوعاً مختلفاً من البناء، ويُعاد تشغيل الخطوات نفسها: تثبيت النص، تقسيم أولي، جمع الروابط، فرضيات الوحدة، الحالات الحدية، ثم الترجيح.</w:t>
      </w:r>
    </w:p>
    <w:p>
      <w:pPr>
        <w:spacing w:line="283" w:lineRule="auto" w:after="80"/>
        <w:ind w:firstLine="397"/>
        <w:jc w:val="both"/>
        <w:bidi/>
      </w:pPr>
      <w:r>
        <w:t>في التطبيق يُسأل عن النظرية والميثاق والحد: هل يشرح النموذج العلاقة بينها أم يجمعها تحت اسم واحد فقط؟ وهل يفسر انتقال السورة من أحدها إلى الآخر؟</w:t>
      </w:r>
    </w:p>
    <w:p>
      <w:pPr>
        <w:spacing w:line="283" w:lineRule="auto" w:after="80"/>
        <w:ind w:firstLine="397"/>
        <w:jc w:val="both"/>
        <w:bidi/>
      </w:pPr>
      <w:r>
        <w:t>تُذكر القراءة البديلة بالتفصيل، ويُقارن عدد الفرضيات المساعدة التي تحتاج إليها كل قراءة. والنموذج الأقل تكلفاً ليس الأفضل دائماً إذا كان يفقد دلالةً ثابتة، لكن الاقتصاد معيار ضمن شبكة المعايير.</w:t>
      </w:r>
    </w:p>
    <w:p>
      <w:pPr>
        <w:spacing w:line="283" w:lineRule="auto" w:after="80"/>
        <w:ind w:firstLine="397"/>
        <w:jc w:val="both"/>
        <w:bidi/>
      </w:pPr>
      <w:r>
        <w:t>يجب أن تنتهي الدراسة بخريطة نصية يمكن تحويلها إلى جدول: رقم المقطع، وحدوده، ووظيفته، وروابطه، وعلاقته بالمطلع والخاتمة، ودرجة الثقة، والملاحظات المعارضة.</w:t>
      </w:r>
    </w:p>
    <w:p>
      <w:pPr>
        <w:spacing w:line="283" w:lineRule="auto" w:after="80"/>
        <w:ind w:firstLine="397"/>
        <w:jc w:val="both"/>
        <w:bidi/>
      </w:pPr>
      <w:r>
        <w:t>يُعاد فحص النتيجة بعد قراءة السورة كاملةً من غير التقسيم المقترح، لأن كثرة الجداول قد تجعل الباحث يرى ما رسمه لا ما يقوله النص. وهذه المراجعة الكلية ضرورية قبل الاعتماد.</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الوحدة علم ببنية السورة بقدر الدليل، وميثاق الباحث يمنع القطع بالحدود الاجتهادية ويُلزمه بعرض الفرضيات المنافسة والمقاطع النافية. وتعمل بشرط أن يبقى النظرية والميثاق والحد مفاهيم مختلفة الوظائف، وألا يُختزل أحدها في الآخر.</w:t>
      </w:r>
    </w:p>
    <w:p>
      <w:pPr>
        <w:spacing w:line="283" w:lineRule="auto" w:after="80"/>
        <w:ind w:firstLine="397"/>
        <w:jc w:val="both"/>
        <w:bidi/>
      </w:pPr>
      <w:r>
        <w:t>وتقرر قاعدة ثانية أن الوحدة السُّورية لا تثبت بكثرة الروابط وحدها؛ إذ يمكن لأي نص طويل أن تنتج له علاقات كثيرة. العبرة بنوع العلاقة وقوتها وقدرتها على تفسير موقع المقطع.</w:t>
      </w:r>
    </w:p>
    <w:p>
      <w:pPr>
        <w:spacing w:line="283" w:lineRule="auto" w:after="80"/>
        <w:ind w:firstLine="397"/>
        <w:jc w:val="both"/>
        <w:bidi/>
      </w:pPr>
      <w:r>
        <w:t>وتقرر قاعدة ثالثة أن تقسيم السورة فرضية تفسيرية ينبغي أن تحمل تاريخاً وإصداراً ودرجة ثقة، وأن يتاح تعديلها عند ظهور قراءة أقوى أو قرينة لغوية أو سياقية جديدة.</w:t>
      </w:r>
    </w:p>
    <w:p>
      <w:pPr>
        <w:spacing w:line="283" w:lineRule="auto" w:after="80"/>
        <w:ind w:firstLine="397"/>
        <w:jc w:val="both"/>
        <w:bidi/>
      </w:pPr>
      <w:r>
        <w:t>وتقرر قاعدة رابعة أن تنوع السور أصل يجب حفظه، فلا يُطلب من سورة قصصية أن تتشكل مثل سورة تشريعية، ولا من سورة قصيرة أن تحمل عدد الطبقات نفسه الذي تحمله سورة طويلة.</w:t>
      </w:r>
    </w:p>
    <w:p>
      <w:pPr>
        <w:spacing w:line="283" w:lineRule="auto" w:after="80"/>
        <w:ind w:firstLine="397"/>
        <w:jc w:val="both"/>
        <w:bidi/>
      </w:pPr>
      <w:r>
        <w:t>ويكون المخرج النهائي بطاقةً للوحدة تشمل: نمط البنية، وحدود المقاطع، ووظائفها، والعقد الحاكمة، والروابط، والمطلع والخاتمة، والفرضية المنافسة، والآيات الحدية، ودرجة الثقة، وحدود الاستعمال.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حد السورة</w:t>
            </w:r>
          </w:p>
        </w:tc>
        <w:tc>
          <w:tcPr>
            <w:tcW w:type="dxa" w:w="2635"/>
            <w:vAlign w:val="center"/>
          </w:tcPr>
          <w:p>
            <w:pPr>
              <w:spacing w:line="283" w:lineRule="auto" w:after="0"/>
              <w:jc w:val="right"/>
              <w:bidi/>
            </w:pPr>
            <w:r>
              <w:rPr>
                <w:sz w:val="18"/>
              </w:rPr>
              <w:t>ما المعطى الثابت؟</w:t>
            </w:r>
          </w:p>
        </w:tc>
        <w:tc>
          <w:tcPr>
            <w:tcW w:type="dxa" w:w="2635"/>
            <w:vAlign w:val="center"/>
          </w:tcPr>
          <w:p>
            <w:pPr>
              <w:spacing w:line="283" w:lineRule="auto" w:after="0"/>
              <w:jc w:val="right"/>
              <w:bidi/>
            </w:pPr>
            <w:r>
              <w:rPr>
                <w:sz w:val="18"/>
              </w:rPr>
              <w:t>إطار التحليل</w:t>
            </w:r>
          </w:p>
        </w:tc>
      </w:tr>
      <w:tr>
        <w:tc>
          <w:tcPr>
            <w:tcW w:type="dxa" w:w="2635"/>
            <w:vAlign w:val="center"/>
          </w:tcPr>
          <w:p>
            <w:pPr>
              <w:spacing w:line="283" w:lineRule="auto" w:after="0"/>
              <w:jc w:val="right"/>
              <w:bidi/>
            </w:pPr>
            <w:r>
              <w:rPr>
                <w:sz w:val="18"/>
              </w:rPr>
              <w:t>المقطع</w:t>
            </w:r>
          </w:p>
        </w:tc>
        <w:tc>
          <w:tcPr>
            <w:tcW w:type="dxa" w:w="2635"/>
            <w:vAlign w:val="center"/>
          </w:tcPr>
          <w:p>
            <w:pPr>
              <w:spacing w:line="283" w:lineRule="auto" w:after="0"/>
              <w:jc w:val="right"/>
              <w:bidi/>
            </w:pPr>
            <w:r>
              <w:rPr>
                <w:sz w:val="18"/>
              </w:rPr>
              <w:t>ما القرائن على بدايته ونهايته؟</w:t>
            </w:r>
          </w:p>
        </w:tc>
        <w:tc>
          <w:tcPr>
            <w:tcW w:type="dxa" w:w="2635"/>
            <w:vAlign w:val="center"/>
          </w:tcPr>
          <w:p>
            <w:pPr>
              <w:spacing w:line="283" w:lineRule="auto" w:after="0"/>
              <w:jc w:val="right"/>
              <w:bidi/>
            </w:pPr>
            <w:r>
              <w:rPr>
                <w:sz w:val="18"/>
              </w:rPr>
              <w:t>وحدة خطابية</w:t>
            </w:r>
          </w:p>
        </w:tc>
      </w:tr>
      <w:tr>
        <w:tc>
          <w:tcPr>
            <w:tcW w:type="dxa" w:w="2635"/>
            <w:vAlign w:val="center"/>
          </w:tcPr>
          <w:p>
            <w:pPr>
              <w:spacing w:line="283" w:lineRule="auto" w:after="0"/>
              <w:jc w:val="right"/>
              <w:bidi/>
            </w:pPr>
            <w:r>
              <w:rPr>
                <w:sz w:val="18"/>
              </w:rPr>
              <w:t>العلاقة</w:t>
            </w:r>
          </w:p>
        </w:tc>
        <w:tc>
          <w:tcPr>
            <w:tcW w:type="dxa" w:w="2635"/>
            <w:vAlign w:val="center"/>
          </w:tcPr>
          <w:p>
            <w:pPr>
              <w:spacing w:line="283" w:lineRule="auto" w:after="0"/>
              <w:jc w:val="right"/>
              <w:bidi/>
            </w:pPr>
            <w:r>
              <w:rPr>
                <w:sz w:val="18"/>
              </w:rPr>
              <w:t>كيف يرتبط بما قبله وبعده؟</w:t>
            </w:r>
          </w:p>
        </w:tc>
        <w:tc>
          <w:tcPr>
            <w:tcW w:type="dxa" w:w="2635"/>
            <w:vAlign w:val="center"/>
          </w:tcPr>
          <w:p>
            <w:pPr>
              <w:spacing w:line="283" w:lineRule="auto" w:after="0"/>
              <w:jc w:val="right"/>
              <w:bidi/>
            </w:pPr>
            <w:r>
              <w:rPr>
                <w:sz w:val="18"/>
              </w:rPr>
              <w:t>نوع ودرجة</w:t>
            </w:r>
          </w:p>
        </w:tc>
      </w:tr>
      <w:tr>
        <w:tc>
          <w:tcPr>
            <w:tcW w:type="dxa" w:w="2635"/>
            <w:vAlign w:val="center"/>
          </w:tcPr>
          <w:p>
            <w:pPr>
              <w:spacing w:line="283" w:lineRule="auto" w:after="0"/>
              <w:jc w:val="right"/>
              <w:bidi/>
            </w:pPr>
            <w:r>
              <w:rPr>
                <w:sz w:val="18"/>
              </w:rPr>
              <w:t>المحور</w:t>
            </w:r>
          </w:p>
        </w:tc>
        <w:tc>
          <w:tcPr>
            <w:tcW w:type="dxa" w:w="2635"/>
            <w:vAlign w:val="center"/>
          </w:tcPr>
          <w:p>
            <w:pPr>
              <w:spacing w:line="283" w:lineRule="auto" w:after="0"/>
              <w:jc w:val="right"/>
              <w:bidi/>
            </w:pPr>
            <w:r>
              <w:rPr>
                <w:sz w:val="18"/>
              </w:rPr>
              <w:t>ما الذي ينظم المقاطع؟</w:t>
            </w:r>
          </w:p>
        </w:tc>
        <w:tc>
          <w:tcPr>
            <w:tcW w:type="dxa" w:w="2635"/>
            <w:vAlign w:val="center"/>
          </w:tcPr>
          <w:p>
            <w:pPr>
              <w:spacing w:line="283" w:lineRule="auto" w:after="0"/>
              <w:jc w:val="right"/>
              <w:bidi/>
            </w:pPr>
            <w:r>
              <w:rPr>
                <w:sz w:val="18"/>
              </w:rPr>
              <w:t>فرضية معللة</w:t>
            </w:r>
          </w:p>
        </w:tc>
      </w:tr>
      <w:tr>
        <w:tc>
          <w:tcPr>
            <w:tcW w:type="dxa" w:w="2635"/>
            <w:vAlign w:val="center"/>
          </w:tcPr>
          <w:p>
            <w:pPr>
              <w:spacing w:line="283" w:lineRule="auto" w:after="0"/>
              <w:jc w:val="right"/>
              <w:bidi/>
            </w:pPr>
            <w:r>
              <w:rPr>
                <w:sz w:val="18"/>
              </w:rPr>
              <w:t>المنافس</w:t>
            </w:r>
          </w:p>
        </w:tc>
        <w:tc>
          <w:tcPr>
            <w:tcW w:type="dxa" w:w="2635"/>
            <w:vAlign w:val="center"/>
          </w:tcPr>
          <w:p>
            <w:pPr>
              <w:spacing w:line="283" w:lineRule="auto" w:after="0"/>
              <w:jc w:val="right"/>
              <w:bidi/>
            </w:pPr>
            <w:r>
              <w:rPr>
                <w:sz w:val="18"/>
              </w:rPr>
              <w:t>ما النموذج البديل؟</w:t>
            </w:r>
          </w:p>
        </w:tc>
        <w:tc>
          <w:tcPr>
            <w:tcW w:type="dxa" w:w="2635"/>
            <w:vAlign w:val="center"/>
          </w:tcPr>
          <w:p>
            <w:pPr>
              <w:spacing w:line="283" w:lineRule="auto" w:after="0"/>
              <w:jc w:val="right"/>
              <w:bidi/>
            </w:pPr>
            <w:r>
              <w:rPr>
                <w:sz w:val="18"/>
              </w:rPr>
              <w:t>اختبار ترجيح</w:t>
            </w:r>
          </w:p>
        </w:tc>
      </w:tr>
      <w:tr>
        <w:tc>
          <w:tcPr>
            <w:tcW w:type="dxa" w:w="2635"/>
            <w:vAlign w:val="center"/>
          </w:tcPr>
          <w:p>
            <w:pPr>
              <w:spacing w:line="283" w:lineRule="auto" w:after="0"/>
              <w:jc w:val="right"/>
              <w:bidi/>
            </w:pPr>
            <w:r>
              <w:rPr>
                <w:sz w:val="18"/>
              </w:rPr>
              <w:t>الحدود</w:t>
            </w:r>
          </w:p>
        </w:tc>
        <w:tc>
          <w:tcPr>
            <w:tcW w:type="dxa" w:w="2635"/>
            <w:vAlign w:val="center"/>
          </w:tcPr>
          <w:p>
            <w:pPr>
              <w:spacing w:line="283" w:lineRule="auto" w:after="0"/>
              <w:jc w:val="right"/>
              <w:bidi/>
            </w:pPr>
            <w:r>
              <w:rPr>
                <w:sz w:val="18"/>
              </w:rPr>
              <w:t>ما الذي لا يفسره النموذج؟</w:t>
            </w:r>
          </w:p>
        </w:tc>
        <w:tc>
          <w:tcPr>
            <w:tcW w:type="dxa" w:w="2635"/>
            <w:vAlign w:val="center"/>
          </w:tcPr>
          <w:p>
            <w:pPr>
              <w:spacing w:line="283" w:lineRule="auto" w:after="0"/>
              <w:jc w:val="right"/>
              <w:bidi/>
            </w:pPr>
            <w:r>
              <w:rPr>
                <w:sz w:val="18"/>
              </w:rPr>
              <w:t>درجة ومراجعة</w:t>
            </w:r>
          </w:p>
        </w:tc>
      </w:tr>
    </w:tbl>
    <w:p/>
    <w:p>
      <w:r>
        <w:br w:type="page"/>
      </w:r>
    </w:p>
    <w:p>
      <w:pPr>
        <w:pStyle w:val="Heading1"/>
        <w:spacing w:line="283" w:lineRule="auto" w:after="120"/>
        <w:jc w:val="right"/>
        <w:keepNext/>
        <w:bidi/>
      </w:pPr>
      <w:r>
        <w:t>القسم التركيبي الأول: أنماط الوحدة السُّورية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النمط</w:t>
            </w:r>
          </w:p>
        </w:tc>
        <w:tc>
          <w:tcPr>
            <w:tcW w:type="dxa" w:w="3952"/>
            <w:vAlign w:val="center"/>
          </w:tcPr>
          <w:p>
            <w:pPr>
              <w:spacing w:line="283" w:lineRule="auto" w:after="0"/>
              <w:jc w:val="center"/>
              <w:bidi/>
            </w:pPr>
            <w:r>
              <w:rPr>
                <w:b/>
                <w:sz w:val="18"/>
              </w:rPr>
              <w:t>تعريفه</w:t>
            </w:r>
          </w:p>
        </w:tc>
      </w:tr>
      <w:tr>
        <w:tc>
          <w:tcPr>
            <w:tcW w:type="dxa" w:w="3952"/>
            <w:vAlign w:val="center"/>
          </w:tcPr>
          <w:p>
            <w:pPr>
              <w:spacing w:line="283" w:lineRule="auto" w:after="0"/>
              <w:jc w:val="right"/>
              <w:bidi/>
            </w:pPr>
            <w:r>
              <w:rPr>
                <w:sz w:val="18"/>
              </w:rPr>
              <w:t>الوحدة المحورية</w:t>
            </w:r>
          </w:p>
        </w:tc>
        <w:tc>
          <w:tcPr>
            <w:tcW w:type="dxa" w:w="3952"/>
            <w:vAlign w:val="center"/>
          </w:tcPr>
          <w:p>
            <w:pPr>
              <w:spacing w:line="283" w:lineRule="auto" w:after="0"/>
              <w:jc w:val="right"/>
              <w:bidi/>
            </w:pPr>
            <w:r>
              <w:rPr>
                <w:sz w:val="18"/>
              </w:rPr>
              <w:t>تنتظم المقاطع حول محور حاكم تتنوع تطبيقاته ووظائفه.</w:t>
            </w:r>
          </w:p>
        </w:tc>
      </w:tr>
      <w:tr>
        <w:tc>
          <w:tcPr>
            <w:tcW w:type="dxa" w:w="3952"/>
            <w:vAlign w:val="center"/>
          </w:tcPr>
          <w:p>
            <w:pPr>
              <w:spacing w:line="283" w:lineRule="auto" w:after="0"/>
              <w:jc w:val="right"/>
              <w:bidi/>
            </w:pPr>
            <w:r>
              <w:rPr>
                <w:sz w:val="18"/>
              </w:rPr>
              <w:t>الوحدة الحجاجية</w:t>
            </w:r>
          </w:p>
        </w:tc>
        <w:tc>
          <w:tcPr>
            <w:tcW w:type="dxa" w:w="3952"/>
            <w:vAlign w:val="center"/>
          </w:tcPr>
          <w:p>
            <w:pPr>
              <w:spacing w:line="283" w:lineRule="auto" w:after="0"/>
              <w:jc w:val="right"/>
              <w:bidi/>
            </w:pPr>
            <w:r>
              <w:rPr>
                <w:sz w:val="18"/>
              </w:rPr>
              <w:t>تتحرك السورة بين دعاوى واعتراضات وأدلة وأجوبة ومآلات.</w:t>
            </w:r>
          </w:p>
        </w:tc>
      </w:tr>
      <w:tr>
        <w:tc>
          <w:tcPr>
            <w:tcW w:type="dxa" w:w="3952"/>
            <w:vAlign w:val="center"/>
          </w:tcPr>
          <w:p>
            <w:pPr>
              <w:spacing w:line="283" w:lineRule="auto" w:after="0"/>
              <w:jc w:val="right"/>
              <w:bidi/>
            </w:pPr>
            <w:r>
              <w:rPr>
                <w:sz w:val="18"/>
              </w:rPr>
              <w:t>الوحدة القصصية</w:t>
            </w:r>
          </w:p>
        </w:tc>
        <w:tc>
          <w:tcPr>
            <w:tcW w:type="dxa" w:w="3952"/>
            <w:vAlign w:val="center"/>
          </w:tcPr>
          <w:p>
            <w:pPr>
              <w:spacing w:line="283" w:lineRule="auto" w:after="0"/>
              <w:jc w:val="right"/>
              <w:bidi/>
            </w:pPr>
            <w:r>
              <w:rPr>
                <w:sz w:val="18"/>
              </w:rPr>
              <w:t>ينظم السرد والتحول في الشخصيات والمشاهد والنتائج بنية السورة.</w:t>
            </w:r>
          </w:p>
        </w:tc>
      </w:tr>
      <w:tr>
        <w:tc>
          <w:tcPr>
            <w:tcW w:type="dxa" w:w="3952"/>
            <w:vAlign w:val="center"/>
          </w:tcPr>
          <w:p>
            <w:pPr>
              <w:spacing w:line="283" w:lineRule="auto" w:after="0"/>
              <w:jc w:val="right"/>
              <w:bidi/>
            </w:pPr>
            <w:r>
              <w:rPr>
                <w:sz w:val="18"/>
              </w:rPr>
              <w:t>الوحدة التقابلية</w:t>
            </w:r>
          </w:p>
        </w:tc>
        <w:tc>
          <w:tcPr>
            <w:tcW w:type="dxa" w:w="3952"/>
            <w:vAlign w:val="center"/>
          </w:tcPr>
          <w:p>
            <w:pPr>
              <w:spacing w:line="283" w:lineRule="auto" w:after="0"/>
              <w:jc w:val="right"/>
              <w:bidi/>
            </w:pPr>
            <w:r>
              <w:rPr>
                <w:sz w:val="18"/>
              </w:rPr>
              <w:t>يتشكل البناء من أزواج أو فئات أو طرق متقابلة تتكرر عبر المقاطع.</w:t>
            </w:r>
          </w:p>
        </w:tc>
      </w:tr>
      <w:tr>
        <w:tc>
          <w:tcPr>
            <w:tcW w:type="dxa" w:w="3952"/>
            <w:vAlign w:val="center"/>
          </w:tcPr>
          <w:p>
            <w:pPr>
              <w:spacing w:line="283" w:lineRule="auto" w:after="0"/>
              <w:jc w:val="right"/>
              <w:bidi/>
            </w:pPr>
            <w:r>
              <w:rPr>
                <w:sz w:val="18"/>
              </w:rPr>
              <w:t>الوحدة السننية</w:t>
            </w:r>
          </w:p>
        </w:tc>
        <w:tc>
          <w:tcPr>
            <w:tcW w:type="dxa" w:w="3952"/>
            <w:vAlign w:val="center"/>
          </w:tcPr>
          <w:p>
            <w:pPr>
              <w:spacing w:line="283" w:lineRule="auto" w:after="0"/>
              <w:jc w:val="right"/>
              <w:bidi/>
            </w:pPr>
            <w:r>
              <w:rPr>
                <w:sz w:val="18"/>
              </w:rPr>
              <w:t>ترتبط المقاطع بقانون أو نمط متكرر في الإنسان أو المجتمع أو التاريخ.</w:t>
            </w:r>
          </w:p>
        </w:tc>
      </w:tr>
      <w:tr>
        <w:tc>
          <w:tcPr>
            <w:tcW w:type="dxa" w:w="3952"/>
            <w:vAlign w:val="center"/>
          </w:tcPr>
          <w:p>
            <w:pPr>
              <w:spacing w:line="283" w:lineRule="auto" w:after="0"/>
              <w:jc w:val="right"/>
              <w:bidi/>
            </w:pPr>
            <w:r>
              <w:rPr>
                <w:sz w:val="18"/>
              </w:rPr>
              <w:t>الوحدة المقصدية</w:t>
            </w:r>
          </w:p>
        </w:tc>
        <w:tc>
          <w:tcPr>
            <w:tcW w:type="dxa" w:w="3952"/>
            <w:vAlign w:val="center"/>
          </w:tcPr>
          <w:p>
            <w:pPr>
              <w:spacing w:line="283" w:lineRule="auto" w:after="0"/>
              <w:jc w:val="right"/>
              <w:bidi/>
            </w:pPr>
            <w:r>
              <w:rPr>
                <w:sz w:val="18"/>
              </w:rPr>
              <w:t>تتنوع المواد لكن يجمعها اتجاه هدايتي أو أخلاقي أو تشريعي.</w:t>
            </w:r>
          </w:p>
        </w:tc>
      </w:tr>
      <w:tr>
        <w:tc>
          <w:tcPr>
            <w:tcW w:type="dxa" w:w="3952"/>
            <w:vAlign w:val="center"/>
          </w:tcPr>
          <w:p>
            <w:pPr>
              <w:spacing w:line="283" w:lineRule="auto" w:after="0"/>
              <w:jc w:val="right"/>
              <w:bidi/>
            </w:pPr>
            <w:r>
              <w:rPr>
                <w:sz w:val="18"/>
              </w:rPr>
              <w:t>الوحدة المآلية</w:t>
            </w:r>
          </w:p>
        </w:tc>
        <w:tc>
          <w:tcPr>
            <w:tcW w:type="dxa" w:w="3952"/>
            <w:vAlign w:val="center"/>
          </w:tcPr>
          <w:p>
            <w:pPr>
              <w:spacing w:line="283" w:lineRule="auto" w:after="0"/>
              <w:jc w:val="right"/>
              <w:bidi/>
            </w:pPr>
            <w:r>
              <w:rPr>
                <w:sz w:val="18"/>
              </w:rPr>
              <w:t>يُنظم الخطاب بتدرج نحو مآل أو حساب أو نتيجة تكشف معنى المقدمات.</w:t>
            </w:r>
          </w:p>
        </w:tc>
      </w:tr>
      <w:tr>
        <w:tc>
          <w:tcPr>
            <w:tcW w:type="dxa" w:w="3952"/>
            <w:vAlign w:val="center"/>
          </w:tcPr>
          <w:p>
            <w:pPr>
              <w:spacing w:line="283" w:lineRule="auto" w:after="0"/>
              <w:jc w:val="right"/>
              <w:bidi/>
            </w:pPr>
            <w:r>
              <w:rPr>
                <w:sz w:val="18"/>
              </w:rPr>
              <w:t>الوحدة الإيقاعية التكرارية</w:t>
            </w:r>
          </w:p>
        </w:tc>
        <w:tc>
          <w:tcPr>
            <w:tcW w:type="dxa" w:w="3952"/>
            <w:vAlign w:val="center"/>
          </w:tcPr>
          <w:p>
            <w:pPr>
              <w:spacing w:line="283" w:lineRule="auto" w:after="0"/>
              <w:jc w:val="right"/>
              <w:bidi/>
            </w:pPr>
            <w:r>
              <w:rPr>
                <w:sz w:val="18"/>
              </w:rPr>
              <w:t>تعمل اللوازم والتكرار على تقسيم الخطاب وربط مقاطعه مع القرائن الدلالية.</w:t>
            </w:r>
          </w:p>
        </w:tc>
      </w:tr>
      <w:tr>
        <w:tc>
          <w:tcPr>
            <w:tcW w:type="dxa" w:w="3952"/>
            <w:vAlign w:val="center"/>
          </w:tcPr>
          <w:p>
            <w:pPr>
              <w:spacing w:line="283" w:lineRule="auto" w:after="0"/>
              <w:jc w:val="right"/>
              <w:bidi/>
            </w:pPr>
            <w:r>
              <w:rPr>
                <w:sz w:val="18"/>
              </w:rPr>
              <w:t>الوحدة الحلقية</w:t>
            </w:r>
          </w:p>
        </w:tc>
        <w:tc>
          <w:tcPr>
            <w:tcW w:type="dxa" w:w="3952"/>
            <w:vAlign w:val="center"/>
          </w:tcPr>
          <w:p>
            <w:pPr>
              <w:spacing w:line="283" w:lineRule="auto" w:after="0"/>
              <w:jc w:val="right"/>
              <w:bidi/>
            </w:pPr>
            <w:r>
              <w:rPr>
                <w:sz w:val="18"/>
              </w:rPr>
              <w:t>تظهر علاقات رجوع وتقابل بين مطلع ومركز وخاتمة أو بين مقاطع متوازنة.</w:t>
            </w:r>
          </w:p>
        </w:tc>
      </w:tr>
      <w:tr>
        <w:tc>
          <w:tcPr>
            <w:tcW w:type="dxa" w:w="3952"/>
            <w:vAlign w:val="center"/>
          </w:tcPr>
          <w:p>
            <w:pPr>
              <w:spacing w:line="283" w:lineRule="auto" w:after="0"/>
              <w:jc w:val="right"/>
              <w:bidi/>
            </w:pPr>
            <w:r>
              <w:rPr>
                <w:sz w:val="18"/>
              </w:rPr>
              <w:t>الوحدة الخطية</w:t>
            </w:r>
          </w:p>
        </w:tc>
        <w:tc>
          <w:tcPr>
            <w:tcW w:type="dxa" w:w="3952"/>
            <w:vAlign w:val="center"/>
          </w:tcPr>
          <w:p>
            <w:pPr>
              <w:spacing w:line="283" w:lineRule="auto" w:after="0"/>
              <w:jc w:val="right"/>
              <w:bidi/>
            </w:pPr>
            <w:r>
              <w:rPr>
                <w:sz w:val="18"/>
              </w:rPr>
              <w:t>يتطور الخطاب في مسار متتابع لا يحتاج إلى تماثل حلقي.</w:t>
            </w:r>
          </w:p>
        </w:tc>
      </w:tr>
      <w:tr>
        <w:tc>
          <w:tcPr>
            <w:tcW w:type="dxa" w:w="3952"/>
            <w:vAlign w:val="center"/>
          </w:tcPr>
          <w:p>
            <w:pPr>
              <w:spacing w:line="283" w:lineRule="auto" w:after="0"/>
              <w:jc w:val="right"/>
              <w:bidi/>
            </w:pPr>
            <w:r>
              <w:rPr>
                <w:sz w:val="18"/>
              </w:rPr>
              <w:t>الوحدة الشبكية</w:t>
            </w:r>
          </w:p>
        </w:tc>
        <w:tc>
          <w:tcPr>
            <w:tcW w:type="dxa" w:w="3952"/>
            <w:vAlign w:val="center"/>
          </w:tcPr>
          <w:p>
            <w:pPr>
              <w:spacing w:line="283" w:lineRule="auto" w:after="0"/>
              <w:jc w:val="right"/>
              <w:bidi/>
            </w:pPr>
            <w:r>
              <w:rPr>
                <w:sz w:val="18"/>
              </w:rPr>
              <w:t>تتعدد المراكز والروابط من غير محور واحد بسيط، لكنها تخدم نظاماً مشتركاً.</w:t>
            </w:r>
          </w:p>
        </w:tc>
      </w:tr>
      <w:tr>
        <w:tc>
          <w:tcPr>
            <w:tcW w:type="dxa" w:w="3952"/>
            <w:vAlign w:val="center"/>
          </w:tcPr>
          <w:p>
            <w:pPr>
              <w:spacing w:line="283" w:lineRule="auto" w:after="0"/>
              <w:jc w:val="right"/>
              <w:bidi/>
            </w:pPr>
            <w:r>
              <w:rPr>
                <w:sz w:val="18"/>
              </w:rPr>
              <w:t>الوحدة المركبة</w:t>
            </w:r>
          </w:p>
        </w:tc>
        <w:tc>
          <w:tcPr>
            <w:tcW w:type="dxa" w:w="3952"/>
            <w:vAlign w:val="center"/>
          </w:tcPr>
          <w:p>
            <w:pPr>
              <w:spacing w:line="283" w:lineRule="auto" w:after="0"/>
              <w:jc w:val="right"/>
              <w:bidi/>
            </w:pPr>
            <w:r>
              <w:rPr>
                <w:sz w:val="18"/>
              </w:rPr>
              <w:t>تجمع أكثر من نمط؛ كالحجاج والقصص والمقصد في بنية واحدة.</w:t>
            </w:r>
          </w:p>
        </w:tc>
      </w:tr>
    </w:tbl>
    <w:p/>
    <w:p>
      <w:pPr>
        <w:pStyle w:val="Heading2"/>
        <w:spacing w:line="283" w:lineRule="auto" w:after="120"/>
        <w:jc w:val="right"/>
        <w:keepNext/>
        <w:bidi/>
      </w:pPr>
      <w:r>
        <w:t>الوحدة المحورية</w:t>
      </w:r>
    </w:p>
    <w:p>
      <w:pPr>
        <w:spacing w:line="283" w:lineRule="auto" w:after="80"/>
        <w:ind w:firstLine="397"/>
        <w:jc w:val="both"/>
        <w:bidi/>
      </w:pPr>
      <w:r>
        <w:t>تنتظم المقاطع حول محور حاكم تتنوع تطبيقاته ووظائفه.</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الحجاجية</w:t>
      </w:r>
    </w:p>
    <w:p>
      <w:pPr>
        <w:spacing w:line="283" w:lineRule="auto" w:after="80"/>
        <w:ind w:firstLine="397"/>
        <w:jc w:val="both"/>
        <w:bidi/>
      </w:pPr>
      <w:r>
        <w:t>تتحرك السورة بين دعاوى واعتراضات وأدلة وأجوبة ومآلات.</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القصصية</w:t>
      </w:r>
    </w:p>
    <w:p>
      <w:pPr>
        <w:spacing w:line="283" w:lineRule="auto" w:after="80"/>
        <w:ind w:firstLine="397"/>
        <w:jc w:val="both"/>
        <w:bidi/>
      </w:pPr>
      <w:r>
        <w:t>ينظم السرد والتحول في الشخصيات والمشاهد والنتائج بنية السورة.</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التقابلية</w:t>
      </w:r>
    </w:p>
    <w:p>
      <w:pPr>
        <w:spacing w:line="283" w:lineRule="auto" w:after="80"/>
        <w:ind w:firstLine="397"/>
        <w:jc w:val="both"/>
        <w:bidi/>
      </w:pPr>
      <w:r>
        <w:t>يتشكل البناء من أزواج أو فئات أو طرق متقابلة تتكرر عبر المقاطع.</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السننية</w:t>
      </w:r>
    </w:p>
    <w:p>
      <w:pPr>
        <w:spacing w:line="283" w:lineRule="auto" w:after="80"/>
        <w:ind w:firstLine="397"/>
        <w:jc w:val="both"/>
        <w:bidi/>
      </w:pPr>
      <w:r>
        <w:t>ترتبط المقاطع بقانون أو نمط متكرر في الإنسان أو المجتمع أو التاريخ.</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المقصدية</w:t>
      </w:r>
    </w:p>
    <w:p>
      <w:pPr>
        <w:spacing w:line="283" w:lineRule="auto" w:after="80"/>
        <w:ind w:firstLine="397"/>
        <w:jc w:val="both"/>
        <w:bidi/>
      </w:pPr>
      <w:r>
        <w:t>تتنوع المواد لكن يجمعها اتجاه هدايتي أو أخلاقي أو تشريعي.</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المآلية</w:t>
      </w:r>
    </w:p>
    <w:p>
      <w:pPr>
        <w:spacing w:line="283" w:lineRule="auto" w:after="80"/>
        <w:ind w:firstLine="397"/>
        <w:jc w:val="both"/>
        <w:bidi/>
      </w:pPr>
      <w:r>
        <w:t>يُنظم الخطاب بتدرج نحو مآل أو حساب أو نتيجة تكشف معنى المقدمات.</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الإيقاعية التكرارية</w:t>
      </w:r>
    </w:p>
    <w:p>
      <w:pPr>
        <w:spacing w:line="283" w:lineRule="auto" w:after="80"/>
        <w:ind w:firstLine="397"/>
        <w:jc w:val="both"/>
        <w:bidi/>
      </w:pPr>
      <w:r>
        <w:t>تعمل اللوازم والتكرار على تقسيم الخطاب وربط مقاطعه مع القرائن الدلالية.</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الحلقية</w:t>
      </w:r>
    </w:p>
    <w:p>
      <w:pPr>
        <w:spacing w:line="283" w:lineRule="auto" w:after="80"/>
        <w:ind w:firstLine="397"/>
        <w:jc w:val="both"/>
        <w:bidi/>
      </w:pPr>
      <w:r>
        <w:t>تظهر علاقات رجوع وتقابل بين مطلع ومركز وخاتمة أو بين مقاطع متوازنة.</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الخطية</w:t>
      </w:r>
    </w:p>
    <w:p>
      <w:pPr>
        <w:spacing w:line="283" w:lineRule="auto" w:after="80"/>
        <w:ind w:firstLine="397"/>
        <w:jc w:val="both"/>
        <w:bidi/>
      </w:pPr>
      <w:r>
        <w:t>يتطور الخطاب في مسار متتابع لا يحتاج إلى تماثل حلقي.</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الشبكية</w:t>
      </w:r>
    </w:p>
    <w:p>
      <w:pPr>
        <w:spacing w:line="283" w:lineRule="auto" w:after="80"/>
        <w:ind w:firstLine="397"/>
        <w:jc w:val="both"/>
        <w:bidi/>
      </w:pPr>
      <w:r>
        <w:t>تتعدد المراكز والروابط من غير محور واحد بسيط، لكنها تخدم نظاماً مشتركاً.</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pPr>
        <w:pStyle w:val="Heading2"/>
        <w:spacing w:line="283" w:lineRule="auto" w:after="120"/>
        <w:jc w:val="right"/>
        <w:keepNext/>
        <w:bidi/>
      </w:pPr>
      <w:r>
        <w:t>الوحدة المركبة</w:t>
      </w:r>
    </w:p>
    <w:p>
      <w:pPr>
        <w:spacing w:line="283" w:lineRule="auto" w:after="80"/>
        <w:ind w:firstLine="397"/>
        <w:jc w:val="both"/>
        <w:bidi/>
      </w:pPr>
      <w:r>
        <w:t>تجمع أكثر من نمط؛ كالحجاج والقصص والمقصد في بنية واحدة.</w:t>
      </w:r>
    </w:p>
    <w:p>
      <w:pPr>
        <w:spacing w:line="283" w:lineRule="auto" w:after="80"/>
        <w:ind w:firstLine="397"/>
        <w:jc w:val="both"/>
        <w:bidi/>
      </w:pPr>
      <w:r>
        <w:t>لا يُعتمد هذا النمط قبل اختبار السورة كلها، ولا يكفي العثور على مثال واحد يوافقه. ويجب أن يفسر انتقالات المقاطع والآيات الحدية، وأن يوضح هل النمط حاكم على السورة أو أداة محلية في جزء منها.</w:t>
      </w:r>
    </w:p>
    <w:p>
      <w:pPr>
        <w:spacing w:line="283" w:lineRule="auto" w:after="80"/>
        <w:ind w:firstLine="397"/>
        <w:jc w:val="both"/>
        <w:bidi/>
      </w:pPr>
      <w:r>
        <w:t>قد تجتمع هذه البنية مع بنية أخرى من غير تناقض؛ فالسورة الطويلة قد تكون حجاجيةً في قسم وقصصيةً في قسم، ويجمعهما مقصد أو مآل. والمهم تحديد المستوى الذي يعمل فيه الوصف.</w:t>
      </w:r>
    </w:p>
    <w:p>
      <w:r>
        <w:br w:type="page"/>
      </w:r>
    </w:p>
    <w:p>
      <w:pPr>
        <w:pStyle w:val="Heading1"/>
        <w:spacing w:line="283" w:lineRule="auto" w:after="120"/>
        <w:jc w:val="right"/>
        <w:keepNext/>
        <w:bidi/>
      </w:pPr>
      <w:r>
        <w:t>القسم التركيبي الثاني: معايير تحديد المقطع</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القرينة</w:t>
            </w:r>
          </w:p>
        </w:tc>
        <w:tc>
          <w:tcPr>
            <w:tcW w:type="dxa" w:w="3952"/>
            <w:vAlign w:val="center"/>
          </w:tcPr>
          <w:p>
            <w:pPr>
              <w:spacing w:line="283" w:lineRule="auto" w:after="0"/>
              <w:jc w:val="center"/>
              <w:bidi/>
            </w:pPr>
            <w:r>
              <w:rPr>
                <w:b/>
                <w:sz w:val="18"/>
              </w:rPr>
              <w:t>وظيفتها</w:t>
            </w:r>
          </w:p>
        </w:tc>
      </w:tr>
      <w:tr>
        <w:tc>
          <w:tcPr>
            <w:tcW w:type="dxa" w:w="3952"/>
            <w:vAlign w:val="center"/>
          </w:tcPr>
          <w:p>
            <w:pPr>
              <w:spacing w:line="283" w:lineRule="auto" w:after="0"/>
              <w:jc w:val="right"/>
              <w:bidi/>
            </w:pPr>
            <w:r>
              <w:rPr>
                <w:sz w:val="18"/>
              </w:rPr>
              <w:t>تغير المتكلم</w:t>
            </w:r>
          </w:p>
        </w:tc>
        <w:tc>
          <w:tcPr>
            <w:tcW w:type="dxa" w:w="3952"/>
            <w:vAlign w:val="center"/>
          </w:tcPr>
          <w:p>
            <w:pPr>
              <w:spacing w:line="283" w:lineRule="auto" w:after="0"/>
              <w:jc w:val="right"/>
              <w:bidi/>
            </w:pPr>
            <w:r>
              <w:rPr>
                <w:sz w:val="18"/>
              </w:rPr>
              <w:t>انتقال ظاهر في جهة الكلام أو القول المنقول.</w:t>
            </w:r>
          </w:p>
        </w:tc>
      </w:tr>
      <w:tr>
        <w:tc>
          <w:tcPr>
            <w:tcW w:type="dxa" w:w="3952"/>
            <w:vAlign w:val="center"/>
          </w:tcPr>
          <w:p>
            <w:pPr>
              <w:spacing w:line="283" w:lineRule="auto" w:after="0"/>
              <w:jc w:val="right"/>
              <w:bidi/>
            </w:pPr>
            <w:r>
              <w:rPr>
                <w:sz w:val="18"/>
              </w:rPr>
              <w:t>تغير المخاطب</w:t>
            </w:r>
          </w:p>
        </w:tc>
        <w:tc>
          <w:tcPr>
            <w:tcW w:type="dxa" w:w="3952"/>
            <w:vAlign w:val="center"/>
          </w:tcPr>
          <w:p>
            <w:pPr>
              <w:spacing w:line="283" w:lineRule="auto" w:after="0"/>
              <w:jc w:val="right"/>
              <w:bidi/>
            </w:pPr>
            <w:r>
              <w:rPr>
                <w:sz w:val="18"/>
              </w:rPr>
              <w:t>تحول من المؤمنين إلى أهل الكتاب أو النبي أو الإنسان أو غيرهم.</w:t>
            </w:r>
          </w:p>
        </w:tc>
      </w:tr>
      <w:tr>
        <w:tc>
          <w:tcPr>
            <w:tcW w:type="dxa" w:w="3952"/>
            <w:vAlign w:val="center"/>
          </w:tcPr>
          <w:p>
            <w:pPr>
              <w:spacing w:line="283" w:lineRule="auto" w:after="0"/>
              <w:jc w:val="right"/>
              <w:bidi/>
            </w:pPr>
            <w:r>
              <w:rPr>
                <w:sz w:val="18"/>
              </w:rPr>
              <w:t>تغير الزمن</w:t>
            </w:r>
          </w:p>
        </w:tc>
        <w:tc>
          <w:tcPr>
            <w:tcW w:type="dxa" w:w="3952"/>
            <w:vAlign w:val="center"/>
          </w:tcPr>
          <w:p>
            <w:pPr>
              <w:spacing w:line="283" w:lineRule="auto" w:after="0"/>
              <w:jc w:val="right"/>
              <w:bidi/>
            </w:pPr>
            <w:r>
              <w:rPr>
                <w:sz w:val="18"/>
              </w:rPr>
              <w:t>انتقال من الماضي إلى الحاضر أو القيامة أو المستقبل.</w:t>
            </w:r>
          </w:p>
        </w:tc>
      </w:tr>
      <w:tr>
        <w:tc>
          <w:tcPr>
            <w:tcW w:type="dxa" w:w="3952"/>
            <w:vAlign w:val="center"/>
          </w:tcPr>
          <w:p>
            <w:pPr>
              <w:spacing w:line="283" w:lineRule="auto" w:after="0"/>
              <w:jc w:val="right"/>
              <w:bidi/>
            </w:pPr>
            <w:r>
              <w:rPr>
                <w:sz w:val="18"/>
              </w:rPr>
              <w:t>تغير المكان أو المشهد</w:t>
            </w:r>
          </w:p>
        </w:tc>
        <w:tc>
          <w:tcPr>
            <w:tcW w:type="dxa" w:w="3952"/>
            <w:vAlign w:val="center"/>
          </w:tcPr>
          <w:p>
            <w:pPr>
              <w:spacing w:line="283" w:lineRule="auto" w:after="0"/>
              <w:jc w:val="right"/>
              <w:bidi/>
            </w:pPr>
            <w:r>
              <w:rPr>
                <w:sz w:val="18"/>
              </w:rPr>
              <w:t>انتقال قصصي أو تصويري بين مواضع.</w:t>
            </w:r>
          </w:p>
        </w:tc>
      </w:tr>
      <w:tr>
        <w:tc>
          <w:tcPr>
            <w:tcW w:type="dxa" w:w="3952"/>
            <w:vAlign w:val="center"/>
          </w:tcPr>
          <w:p>
            <w:pPr>
              <w:spacing w:line="283" w:lineRule="auto" w:after="0"/>
              <w:jc w:val="right"/>
              <w:bidi/>
            </w:pPr>
            <w:r>
              <w:rPr>
                <w:sz w:val="18"/>
              </w:rPr>
              <w:t>تغير الوظيفة</w:t>
            </w:r>
          </w:p>
        </w:tc>
        <w:tc>
          <w:tcPr>
            <w:tcW w:type="dxa" w:w="3952"/>
            <w:vAlign w:val="center"/>
          </w:tcPr>
          <w:p>
            <w:pPr>
              <w:spacing w:line="283" w:lineRule="auto" w:after="0"/>
              <w:jc w:val="right"/>
              <w:bidi/>
            </w:pPr>
            <w:r>
              <w:rPr>
                <w:sz w:val="18"/>
              </w:rPr>
              <w:t>من حجاج إلى تشريع أو من وعظ إلى قصة أو من حكم إلى مآل.</w:t>
            </w:r>
          </w:p>
        </w:tc>
      </w:tr>
      <w:tr>
        <w:tc>
          <w:tcPr>
            <w:tcW w:type="dxa" w:w="3952"/>
            <w:vAlign w:val="center"/>
          </w:tcPr>
          <w:p>
            <w:pPr>
              <w:spacing w:line="283" w:lineRule="auto" w:after="0"/>
              <w:jc w:val="right"/>
              <w:bidi/>
            </w:pPr>
            <w:r>
              <w:rPr>
                <w:sz w:val="18"/>
              </w:rPr>
              <w:t>الاستئناف اللفظي</w:t>
            </w:r>
          </w:p>
        </w:tc>
        <w:tc>
          <w:tcPr>
            <w:tcW w:type="dxa" w:w="3952"/>
            <w:vAlign w:val="center"/>
          </w:tcPr>
          <w:p>
            <w:pPr>
              <w:spacing w:line="283" w:lineRule="auto" w:after="0"/>
              <w:jc w:val="right"/>
              <w:bidi/>
            </w:pPr>
            <w:r>
              <w:rPr>
                <w:sz w:val="18"/>
              </w:rPr>
              <w:t>أداة أو صيغة تفتتح وحدة جديدة بقرائن.</w:t>
            </w:r>
          </w:p>
        </w:tc>
      </w:tr>
      <w:tr>
        <w:tc>
          <w:tcPr>
            <w:tcW w:type="dxa" w:w="3952"/>
            <w:vAlign w:val="center"/>
          </w:tcPr>
          <w:p>
            <w:pPr>
              <w:spacing w:line="283" w:lineRule="auto" w:after="0"/>
              <w:jc w:val="right"/>
              <w:bidi/>
            </w:pPr>
            <w:r>
              <w:rPr>
                <w:sz w:val="18"/>
              </w:rPr>
              <w:t>الخاتمة الداخلية</w:t>
            </w:r>
          </w:p>
        </w:tc>
        <w:tc>
          <w:tcPr>
            <w:tcW w:type="dxa" w:w="3952"/>
            <w:vAlign w:val="center"/>
          </w:tcPr>
          <w:p>
            <w:pPr>
              <w:spacing w:line="283" w:lineRule="auto" w:after="0"/>
              <w:jc w:val="right"/>
              <w:bidi/>
            </w:pPr>
            <w:r>
              <w:rPr>
                <w:sz w:val="18"/>
              </w:rPr>
              <w:t>جملة تلخص أو تقفل سلسلة من الحجج أو الأحكام.</w:t>
            </w:r>
          </w:p>
        </w:tc>
      </w:tr>
      <w:tr>
        <w:tc>
          <w:tcPr>
            <w:tcW w:type="dxa" w:w="3952"/>
            <w:vAlign w:val="center"/>
          </w:tcPr>
          <w:p>
            <w:pPr>
              <w:spacing w:line="283" w:lineRule="auto" w:after="0"/>
              <w:jc w:val="right"/>
              <w:bidi/>
            </w:pPr>
            <w:r>
              <w:rPr>
                <w:sz w:val="18"/>
              </w:rPr>
              <w:t>اللازمة</w:t>
            </w:r>
          </w:p>
        </w:tc>
        <w:tc>
          <w:tcPr>
            <w:tcW w:type="dxa" w:w="3952"/>
            <w:vAlign w:val="center"/>
          </w:tcPr>
          <w:p>
            <w:pPr>
              <w:spacing w:line="283" w:lineRule="auto" w:after="0"/>
              <w:jc w:val="right"/>
              <w:bidi/>
            </w:pPr>
            <w:r>
              <w:rPr>
                <w:sz w:val="18"/>
              </w:rPr>
              <w:t>عبارة متكررة تفصل وحدات وتربطها.</w:t>
            </w:r>
          </w:p>
        </w:tc>
      </w:tr>
      <w:tr>
        <w:tc>
          <w:tcPr>
            <w:tcW w:type="dxa" w:w="3952"/>
            <w:vAlign w:val="center"/>
          </w:tcPr>
          <w:p>
            <w:pPr>
              <w:spacing w:line="283" w:lineRule="auto" w:after="0"/>
              <w:jc w:val="right"/>
              <w:bidi/>
            </w:pPr>
            <w:r>
              <w:rPr>
                <w:sz w:val="18"/>
              </w:rPr>
              <w:t>التقابل</w:t>
            </w:r>
          </w:p>
        </w:tc>
        <w:tc>
          <w:tcPr>
            <w:tcW w:type="dxa" w:w="3952"/>
            <w:vAlign w:val="center"/>
          </w:tcPr>
          <w:p>
            <w:pPr>
              <w:spacing w:line="283" w:lineRule="auto" w:after="0"/>
              <w:jc w:val="right"/>
              <w:bidi/>
            </w:pPr>
            <w:r>
              <w:rPr>
                <w:sz w:val="18"/>
              </w:rPr>
              <w:t>بدء الجهة المقابلة بعد اكتمال الجهة الأولى.</w:t>
            </w:r>
          </w:p>
        </w:tc>
      </w:tr>
      <w:tr>
        <w:tc>
          <w:tcPr>
            <w:tcW w:type="dxa" w:w="3952"/>
            <w:vAlign w:val="center"/>
          </w:tcPr>
          <w:p>
            <w:pPr>
              <w:spacing w:line="283" w:lineRule="auto" w:after="0"/>
              <w:jc w:val="right"/>
              <w:bidi/>
            </w:pPr>
            <w:r>
              <w:rPr>
                <w:sz w:val="18"/>
              </w:rPr>
              <w:t>تحول الضمائر</w:t>
            </w:r>
          </w:p>
        </w:tc>
        <w:tc>
          <w:tcPr>
            <w:tcW w:type="dxa" w:w="3952"/>
            <w:vAlign w:val="center"/>
          </w:tcPr>
          <w:p>
            <w:pPr>
              <w:spacing w:line="283" w:lineRule="auto" w:after="0"/>
              <w:jc w:val="right"/>
              <w:bidi/>
            </w:pPr>
            <w:r>
              <w:rPr>
                <w:sz w:val="18"/>
              </w:rPr>
              <w:t>قد يرافق انتقالاً إذا عضدته قرائن أخرى.</w:t>
            </w:r>
          </w:p>
        </w:tc>
      </w:tr>
      <w:tr>
        <w:tc>
          <w:tcPr>
            <w:tcW w:type="dxa" w:w="3952"/>
            <w:vAlign w:val="center"/>
          </w:tcPr>
          <w:p>
            <w:pPr>
              <w:spacing w:line="283" w:lineRule="auto" w:after="0"/>
              <w:jc w:val="right"/>
              <w:bidi/>
            </w:pPr>
            <w:r>
              <w:rPr>
                <w:sz w:val="18"/>
              </w:rPr>
              <w:t>التكرار الاستهلالي</w:t>
            </w:r>
          </w:p>
        </w:tc>
        <w:tc>
          <w:tcPr>
            <w:tcW w:type="dxa" w:w="3952"/>
            <w:vAlign w:val="center"/>
          </w:tcPr>
          <w:p>
            <w:pPr>
              <w:spacing w:line="283" w:lineRule="auto" w:after="0"/>
              <w:jc w:val="right"/>
              <w:bidi/>
            </w:pPr>
            <w:r>
              <w:rPr>
                <w:sz w:val="18"/>
              </w:rPr>
              <w:t>عودة صيغة افتتاحية قد تحد مقاطع متوازية.</w:t>
            </w:r>
          </w:p>
        </w:tc>
      </w:tr>
      <w:tr>
        <w:tc>
          <w:tcPr>
            <w:tcW w:type="dxa" w:w="3952"/>
            <w:vAlign w:val="center"/>
          </w:tcPr>
          <w:p>
            <w:pPr>
              <w:spacing w:line="283" w:lineRule="auto" w:after="0"/>
              <w:jc w:val="right"/>
              <w:bidi/>
            </w:pPr>
            <w:r>
              <w:rPr>
                <w:sz w:val="18"/>
              </w:rPr>
              <w:t>التحول المعجمي</w:t>
            </w:r>
          </w:p>
        </w:tc>
        <w:tc>
          <w:tcPr>
            <w:tcW w:type="dxa" w:w="3952"/>
            <w:vAlign w:val="center"/>
          </w:tcPr>
          <w:p>
            <w:pPr>
              <w:spacing w:line="283" w:lineRule="auto" w:after="0"/>
              <w:jc w:val="right"/>
              <w:bidi/>
            </w:pPr>
            <w:r>
              <w:rPr>
                <w:sz w:val="18"/>
              </w:rPr>
              <w:t>تغير حقل الألفاظ مع ثبوت وظيفة مختلفة، وهو قرينة ضعيفة منفرداً.</w:t>
            </w:r>
          </w:p>
        </w:tc>
      </w:tr>
    </w:tbl>
    <w:p/>
    <w:p>
      <w:pPr>
        <w:spacing w:line="283" w:lineRule="auto" w:after="80"/>
        <w:ind w:firstLine="397"/>
        <w:jc w:val="both"/>
        <w:bidi/>
      </w:pPr>
      <w:r>
        <w:t>تغير المتكلم: انتقال ظاهر في جهة الكلام أو القول المنقول.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تغير المخاطب: تحول من المؤمنين إلى أهل الكتاب أو النبي أو الإنسان أو غيرهم.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تغير الزمن: انتقال من الماضي إلى الحاضر أو القيامة أو المستقبل.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تغير المكان أو المشهد: انتقال قصصي أو تصويري بين مواضع.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تغير الوظيفة: من حجاج إلى تشريع أو من وعظ إلى قصة أو من حكم إلى مآل.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الاستئناف اللفظي: أداة أو صيغة تفتتح وحدة جديدة بقرائن.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الخاتمة الداخلية: جملة تلخص أو تقفل سلسلة من الحجج أو الأحكام.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اللازمة: عبارة متكررة تفصل وحدات وتربطها.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التقابل: بدء الجهة المقابلة بعد اكتمال الجهة الأولى.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تحول الضمائر: قد يرافق انتقالاً إذا عضدته قرائن أخرى.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التكرار الاستهلالي: عودة صيغة افتتاحية قد تحد مقاطع متوازية.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pPr>
        <w:spacing w:line="283" w:lineRule="auto" w:after="80"/>
        <w:ind w:firstLine="397"/>
        <w:jc w:val="both"/>
        <w:bidi/>
      </w:pPr>
      <w:r>
        <w:t>التحول المعجمي: تغير حقل الألفاظ مع ثبوت وظيفة مختلفة، وهو قرينة ضعيفة منفرداً. ولا تعمل هذه القرينة منفردةً بالضرورة؛ بل ترتفع قوة حد المقطع بتضافر قرائن مستقلة. ويجب تسجيل القرينة النافية إذا استمرت إحالة أو حجة أو قصة عبر الحد المقترح.</w:t>
      </w:r>
    </w:p>
    <w:p>
      <w:r>
        <w:br w:type="page"/>
      </w:r>
    </w:p>
    <w:p>
      <w:pPr>
        <w:pStyle w:val="Heading1"/>
        <w:spacing w:line="283" w:lineRule="auto" w:after="120"/>
        <w:jc w:val="right"/>
        <w:keepNext/>
        <w:bidi/>
      </w:pPr>
      <w:r>
        <w:t>القسم التركيبي الثالث: أربعون قاعدة للوحدة السُّورية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ابدأ بحد السورة المنزل قبل أي موضوع مفترض.</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تجعل الصفحة أو الحزب أو الركوع حداً تفسيرياً بلا دليل.</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ثبت النص والقراءات قبل تحليل الروابط.</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حدد المقاطع من تضافر القرائن لا من الانطباع.</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تغير الموضوع لا يساوي دائماً بداية مقطع.</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تغير المخاطب قرينة قوية إذا عضدته البنية.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الالتفات لا يثبت قطع السياق بذاته.</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المطلع عقدة مهمة لا مفتاح حصري.</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الخاتمة مآل محتمل لا تلخيص مضمون دائماً.</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المحور غير الموضوع وغير المقصد وغير البؤرة.</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لا تفترض محوراً واحداً لكل سورة.</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تعدد المحاور لا ينفي الوحدة.</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المقطع وحدة خطابية لا فقرة طباعية.</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وظيفة المقطع أهم من عنوانه المختصر.</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الرابط بين المقاطع يحتاج إلى نوع محدد.</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التكرار لا يثبت الوحدة وحده.</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اللازمة قد تقسم الخطاب وتربطه معاً.</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الإيقاع خادم للدلالة لا حاكم منفرد.</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القصة تُقرأ في موضعها قبل جمع نظائرها.</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التشريع يُقرأ في نظام السورة ولا يذوب فيه.</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الحجاج يقتضي تعيين الدعوى والمخاطب والجواب.</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التقابل يحتاج إلى عناصر قابلة للمقارنة.</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البنية الحلقية فرضية لا قانون عام.</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التناظر العددي لا يثبت القصد بذاته.</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ابدأ بالشبكة السُّورية قبل الشبكة العابرة للسور.</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التصريف يوسع الفهم ولا يلغي خصوصية الموضع.</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المحكمات الخارجية تصحح القراءة السُّورية إذا تعارضت معها.</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اختبر النموذج على أصعب مقطع فيه.</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ابن فرضية منافسة قبل الترجيح.</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فضل النموذج الذي يفسر أكثر بأقل تكلف مع حفظ الدلالة.</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لا ترد قولاً تراثياً لأنه لا يدخل في محاورك.</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لا تقطع بحد المقطع الاجتهادي.</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أعلن درجة الثقة لكل مقطع ومحور.</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اسمح بتعدد نماذج راجحة عند تقارب الأدلة.</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لا تحول الوحدة السُّورية إلى فتوى أو عقيدة بذاتها.</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افصل الوصف البنيوي من الاستنباط.</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اجعل الحوسبة أداة مقارنة لا شاهداً على القصد.</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احتفظ بالقرائن النافية في التقرير.</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راجع السورة كاملةً بعد بناء الخريطة.</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يبقى القرآن حاكماً على النموذج لا النموذج حاكماً على القرآن.</w:t>
            </w:r>
          </w:p>
        </w:tc>
      </w:tr>
    </w:tbl>
    <w:p/>
    <w:p>
      <w:pPr>
        <w:spacing w:line="283" w:lineRule="auto" w:after="80"/>
        <w:ind w:firstLine="397"/>
        <w:jc w:val="both"/>
        <w:bidi/>
      </w:pPr>
      <w:r>
        <w:t>القاعدة 1: ابدأ بحد السورة المنزل قبل أي موضوع مفترض.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 لا تجعل الصفحة أو الحزب أو الركوع حداً تفسيرياً بلا دليل.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 ثبت النص والقراءات قبل تحليل الروابط.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4: حدد المقاطع من تضافر القرائن لا من الانطباع.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5: تغير الموضوع لا يساوي دائماً بداية مقطع.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6: تغير المخاطب قرينة قوية إذا عضدته البنية.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7: الالتفات لا يثبت قطع السياق بذاته.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8: المطلع عقدة مهمة لا مفتاح حصري.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9: الخاتمة مآل محتمل لا تلخيص مضمون دائماً.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10: المحور غير الموضوع وغير المقصد وغير البؤرة.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11: لا تفترض محوراً واحداً لكل سورة.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12: تعدد المحاور لا ينفي الوحدة.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13: المقطع وحدة خطابية لا فقرة طباعية.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14: وظيفة المقطع أهم من عنوانه المختصر.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15: الرابط بين المقاطع يحتاج إلى نوع محدد.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16: التكرار لا يثبت الوحدة وحده.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17: اللازمة قد تقسم الخطاب وتربطه معاً.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18: الإيقاع خادم للدلالة لا حاكم منفرد.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19: القصة تُقرأ في موضعها قبل جمع نظائرها.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20: التشريع يُقرأ في نظام السورة ولا يذوب فيه.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21: الحجاج يقتضي تعيين الدعوى والمخاطب والجواب.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22: التقابل يحتاج إلى عناصر قابلة للمقارنة.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23: البنية الحلقية فرضية لا قانون عام.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24: التناظر العددي لا يثبت القصد بذاته.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25: ابدأ بالشبكة السُّورية قبل الشبكة العابرة للسور.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26: التصريف يوسع الفهم ولا يلغي خصوصية الموضع.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27: المحكمات الخارجية تصحح القراءة السُّورية إذا تعارضت معها.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28: اختبر النموذج على أصعب مقطع فيه.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29: ابن فرضية منافسة قبل الترجيح.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30: فضل النموذج الذي يفسر أكثر بأقل تكلف مع حفظ الدلالة.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31: لا ترد قولاً تراثياً لأنه لا يدخل في محاورك.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32: لا تقطع بحد المقطع الاجتهادي.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33: أعلن درجة الثقة لكل مقطع ومحور.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34: اسمح بتعدد نماذج راجحة عند تقارب الأدلة.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35: لا تحول الوحدة السُّورية إلى فتوى أو عقيدة بذاتها.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36: افصل الوصف البنيوي من الاستنباط.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37: اجعل الحوسبة أداة مقارنة لا شاهداً على القصد.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38: احتفظ بالقرائن النافية في التقرير.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39: راجع السورة كاملةً بعد بناء الخريطة. وتُختبر هذه القاعدة في الدراسات التطبيقية، ويُذكر أثر مخالفتها في تقسيم السورة أو ترجيح محورها أو فهم آية منها.</w:t>
      </w:r>
    </w:p>
    <w:p>
      <w:pPr>
        <w:spacing w:line="283" w:lineRule="auto" w:after="80"/>
        <w:ind w:firstLine="397"/>
        <w:jc w:val="both"/>
        <w:bidi/>
      </w:pPr>
      <w:r>
        <w:t>القاعدة 40: يبقى القرآن حاكماً على النموذج لا النموذج حاكماً على القرآن. وتُختبر هذه القاعدة في الدراسات التطبيقية، ويُذكر أثر مخالفتها في تقسيم السورة أو ترجيح محورها أو فهم آية منها.</w:t>
      </w:r>
    </w:p>
    <w:p>
      <w:r>
        <w:br w:type="page"/>
      </w:r>
    </w:p>
    <w:p>
      <w:pPr>
        <w:pStyle w:val="Heading1"/>
        <w:spacing w:line="283" w:lineRule="auto" w:after="120"/>
        <w:jc w:val="right"/>
        <w:keepNext/>
        <w:bidi/>
      </w:pPr>
      <w:r>
        <w:t>القسم التركيبي الرابع: أربعون مغالطة في دراسة الوحدة السُّورية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مغالطة الموضوع الواحد بالضرورة.</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مغالطة العنوان المسبق للسورة.</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مغالطة الصفحة بوصفها مقطعاً.</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مغالطة كل تغير موضوعي بوصفه انقطاعاً.</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مغالطة كل التفات بوصفه انتقالاً.</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مغالطة المطلع الذي يفسر كل شيء.</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مغالطة الخاتمة التي تلخص كل شيء.</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مغالطة التكرار العددي.</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مغالطة الفاصلة الصوتية الحاكمة.</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مغالطة البنية الحلقية العامة.</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مغالطة التناظر العددي.</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مغالطة المركز الهندسي.</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مغالطة تقسيم السورة إلى أعداد متساوية.</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مغالطة الشبه المعجمي بين المقاطع.</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مغالطة تسمية المقطع بدلاً من تفسيره.</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مغالطة المحور الذي يبتلع التفاصيل.</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مغالطة المقصد السابق للتحليل.</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مغالطة القصة المنعزلة عن السورة.</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مغالطة الحكم المعزول عن السورة.</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مغالطة إلغاء السياق الخارجي الثابت.</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مغالطة تقديم سبب النزول على بنية السورة بلا قرينة.</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مغالطة جمع جميع نظائر الموضوع قبل فهم الموضع.</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مغالطة إسقاط ترتيب النزول المفترض على ترتيب التلاوة.</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مغالطة عد كل روابط السورة متساوية.</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مغالطة تجاهل الآية الحدية.</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مغالطة حذف المقطع الصعب من الخريطة.</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مغالطة اختيار التقسيم الأشهر.</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مغالطة اختيار التقسيم الأجمل.</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مغالطة الرسم بوصفه دليلاً.</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مغالطة الشبكة الكثيفة بوصفها وحدةً قوية.</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مغالطة المركزية الحسابية.</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مغالطة الذكاء الاصطناعي الذي يكتشف قصد السورة.</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مغالطة العبور من البنية إلى التشريع مباشرة.</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مغالطة العبور من البنية إلى التاريخ مباشرة.</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مغالطة الحكم على السورة من اسمها وحده.</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مغالطة افتراض أن أسماء السور تحدد محاورها.</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مغالطة مساواة الوحدة بالسلاسة.</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مغالطة رفض التعدد البنيوي.</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مغالطة القطع بفرضية اجتهادية.</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مغالطة عصمة نظرية الوحدة السُّورية.</w:t>
            </w:r>
          </w:p>
        </w:tc>
      </w:tr>
    </w:tbl>
    <w:p/>
    <w:p>
      <w:pPr>
        <w:spacing w:line="283" w:lineRule="auto" w:after="80"/>
        <w:ind w:firstLine="397"/>
        <w:jc w:val="both"/>
        <w:bidi/>
      </w:pPr>
      <w:r>
        <w:t>مغالطة الموضوع الواحد بالضرورة.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العنوان المسبق للسورة.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الصفحة بوصفها مقطعاً.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كل تغير موضوعي بوصفه انقطاعاً.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كل التفات بوصفه انتقالاً.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المطلع الذي يفسر كل شيء.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الخاتمة التي تلخص كل شيء.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التكرار العددي.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الفاصلة الصوتية الحاكمة.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البنية الحلقية العامة.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التناظر العددي.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المركز الهندسي.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تقسيم السورة إلى أعداد متساوية.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الشبه المعجمي بين المقاطع.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تسمية المقطع بدلاً من تفسيره.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المحور الذي يبتلع التفاصيل.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المقصد السابق للتحليل.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القصة المنعزلة عن السورة.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الحكم المعزول عن السورة.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إلغاء السياق الخارجي الثابت.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تقديم سبب النزول على بنية السورة بلا قرينة.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جمع جميع نظائر الموضوع قبل فهم الموضع.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إسقاط ترتيب النزول المفترض على ترتيب التلاوة.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عد كل روابط السورة متساوية.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تجاهل الآية الحدية.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حذف المقطع الصعب من الخريطة.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اختيار التقسيم الأشهر.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اختيار التقسيم الأجمل.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الرسم بوصفه دليلاً.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الشبكة الكثيفة بوصفها وحدةً قوية.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المركزية الحسابية.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الذكاء الاصطناعي الذي يكتشف قصد السورة.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العبور من البنية إلى التشريع مباشرة.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العبور من البنية إلى التاريخ مباشرة.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الحكم على السورة من اسمها وحده.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افتراض أن أسماء السور تحدد محاورها.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مساواة الوحدة بالسلاسة.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رفض التعدد البنيوي.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القطع بفرضية اجتهادية.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pPr>
        <w:spacing w:line="283" w:lineRule="auto" w:after="80"/>
        <w:ind w:firstLine="397"/>
        <w:jc w:val="both"/>
        <w:bidi/>
      </w:pPr>
      <w:r>
        <w:t>مغالطة عصمة نظرية الوحدة السُّورية. تنشأ حين يتحول مؤشر جزئي إلى تفسير شامل. ويعالجها المنهج بإعادة النص إلى جميع قرائنه، وببناء فرضية منافسة، وبإظهار المقاطع أو الآيات التي لا تخدم النموذج بسهولة.</w:t>
      </w:r>
    </w:p>
    <w:p>
      <w:r>
        <w:br w:type="page"/>
      </w:r>
    </w:p>
    <w:p>
      <w:pPr>
        <w:pStyle w:val="Heading1"/>
        <w:spacing w:line="283" w:lineRule="auto" w:after="120"/>
        <w:jc w:val="right"/>
        <w:keepNext/>
        <w:bidi/>
      </w:pPr>
      <w:r>
        <w:t>القسم التركيبي الخامس: المدارس والمناهج في دراسة وحدة السورة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المدرسة</w:t>
            </w:r>
          </w:p>
        </w:tc>
        <w:tc>
          <w:tcPr>
            <w:tcW w:type="dxa" w:w="3952"/>
            <w:vAlign w:val="center"/>
          </w:tcPr>
          <w:p>
            <w:pPr>
              <w:spacing w:line="283" w:lineRule="auto" w:after="0"/>
              <w:jc w:val="center"/>
              <w:bidi/>
            </w:pPr>
            <w:r>
              <w:rPr>
                <w:b/>
                <w:sz w:val="18"/>
              </w:rPr>
              <w:t>التقويم</w:t>
            </w:r>
          </w:p>
        </w:tc>
      </w:tr>
      <w:tr>
        <w:tc>
          <w:tcPr>
            <w:tcW w:type="dxa" w:w="3952"/>
            <w:vAlign w:val="center"/>
          </w:tcPr>
          <w:p>
            <w:pPr>
              <w:spacing w:line="283" w:lineRule="auto" w:after="0"/>
              <w:jc w:val="right"/>
              <w:bidi/>
            </w:pPr>
            <w:r>
              <w:rPr>
                <w:sz w:val="18"/>
              </w:rPr>
              <w:t>النظم البلاغي</w:t>
            </w:r>
          </w:p>
        </w:tc>
        <w:tc>
          <w:tcPr>
            <w:tcW w:type="dxa" w:w="3952"/>
            <w:vAlign w:val="center"/>
          </w:tcPr>
          <w:p>
            <w:pPr>
              <w:spacing w:line="283" w:lineRule="auto" w:after="0"/>
              <w:jc w:val="right"/>
              <w:bidi/>
            </w:pPr>
            <w:r>
              <w:rPr>
                <w:sz w:val="18"/>
              </w:rPr>
              <w:t>قوته في العلاقات والتركيب؛ وخطره في البقاء عند الجملة أحياناً.</w:t>
            </w:r>
          </w:p>
        </w:tc>
      </w:tr>
      <w:tr>
        <w:tc>
          <w:tcPr>
            <w:tcW w:type="dxa" w:w="3952"/>
            <w:vAlign w:val="center"/>
          </w:tcPr>
          <w:p>
            <w:pPr>
              <w:spacing w:line="283" w:lineRule="auto" w:after="0"/>
              <w:jc w:val="right"/>
              <w:bidi/>
            </w:pPr>
            <w:r>
              <w:rPr>
                <w:sz w:val="18"/>
              </w:rPr>
              <w:t>المناسبة بين الآيات والسور</w:t>
            </w:r>
          </w:p>
        </w:tc>
        <w:tc>
          <w:tcPr>
            <w:tcW w:type="dxa" w:w="3952"/>
            <w:vAlign w:val="center"/>
          </w:tcPr>
          <w:p>
            <w:pPr>
              <w:spacing w:line="283" w:lineRule="auto" w:after="0"/>
              <w:jc w:val="right"/>
              <w:bidi/>
            </w:pPr>
            <w:r>
              <w:rPr>
                <w:sz w:val="18"/>
              </w:rPr>
              <w:t>يحفظ الاتصال؛ وقد يتكلف مناسبة لكل مجاورة.</w:t>
            </w:r>
          </w:p>
        </w:tc>
      </w:tr>
      <w:tr>
        <w:tc>
          <w:tcPr>
            <w:tcW w:type="dxa" w:w="3952"/>
            <w:vAlign w:val="center"/>
          </w:tcPr>
          <w:p>
            <w:pPr>
              <w:spacing w:line="283" w:lineRule="auto" w:after="0"/>
              <w:jc w:val="right"/>
              <w:bidi/>
            </w:pPr>
            <w:r>
              <w:rPr>
                <w:sz w:val="18"/>
              </w:rPr>
              <w:t>الوحدة العضوية</w:t>
            </w:r>
          </w:p>
        </w:tc>
        <w:tc>
          <w:tcPr>
            <w:tcW w:type="dxa" w:w="3952"/>
            <w:vAlign w:val="center"/>
          </w:tcPr>
          <w:p>
            <w:pPr>
              <w:spacing w:line="283" w:lineRule="auto" w:after="0"/>
              <w:jc w:val="right"/>
              <w:bidi/>
            </w:pPr>
            <w:r>
              <w:rPr>
                <w:sz w:val="18"/>
              </w:rPr>
              <w:t>يبحث انتظام السورة ككل؛ وقد يبالغ في الموضوع الواحد.</w:t>
            </w:r>
          </w:p>
        </w:tc>
      </w:tr>
      <w:tr>
        <w:tc>
          <w:tcPr>
            <w:tcW w:type="dxa" w:w="3952"/>
            <w:vAlign w:val="center"/>
          </w:tcPr>
          <w:p>
            <w:pPr>
              <w:spacing w:line="283" w:lineRule="auto" w:after="0"/>
              <w:jc w:val="right"/>
              <w:bidi/>
            </w:pPr>
            <w:r>
              <w:rPr>
                <w:sz w:val="18"/>
              </w:rPr>
              <w:t>الوحدة الموضوعية للسورة</w:t>
            </w:r>
          </w:p>
        </w:tc>
        <w:tc>
          <w:tcPr>
            <w:tcW w:type="dxa" w:w="3952"/>
            <w:vAlign w:val="center"/>
          </w:tcPr>
          <w:p>
            <w:pPr>
              <w:spacing w:line="283" w:lineRule="auto" w:after="0"/>
              <w:jc w:val="right"/>
              <w:bidi/>
            </w:pPr>
            <w:r>
              <w:rPr>
                <w:sz w:val="18"/>
              </w:rPr>
              <w:t>يحدد موضوعاً أو محوراً؛ وخطره اختزال التنوع.</w:t>
            </w:r>
          </w:p>
        </w:tc>
      </w:tr>
      <w:tr>
        <w:tc>
          <w:tcPr>
            <w:tcW w:type="dxa" w:w="3952"/>
            <w:vAlign w:val="center"/>
          </w:tcPr>
          <w:p>
            <w:pPr>
              <w:spacing w:line="283" w:lineRule="auto" w:after="0"/>
              <w:jc w:val="right"/>
              <w:bidi/>
            </w:pPr>
            <w:r>
              <w:rPr>
                <w:sz w:val="18"/>
              </w:rPr>
              <w:t>البنية الحلقية</w:t>
            </w:r>
          </w:p>
        </w:tc>
        <w:tc>
          <w:tcPr>
            <w:tcW w:type="dxa" w:w="3952"/>
            <w:vAlign w:val="center"/>
          </w:tcPr>
          <w:p>
            <w:pPr>
              <w:spacing w:line="283" w:lineRule="auto" w:after="0"/>
              <w:jc w:val="right"/>
              <w:bidi/>
            </w:pPr>
            <w:r>
              <w:rPr>
                <w:sz w:val="18"/>
              </w:rPr>
              <w:t>تكشف الرجوع والتناظر؛ وخطرها فرض التماثل العددي أو الدائري.</w:t>
            </w:r>
          </w:p>
        </w:tc>
      </w:tr>
      <w:tr>
        <w:tc>
          <w:tcPr>
            <w:tcW w:type="dxa" w:w="3952"/>
            <w:vAlign w:val="center"/>
          </w:tcPr>
          <w:p>
            <w:pPr>
              <w:spacing w:line="283" w:lineRule="auto" w:after="0"/>
              <w:jc w:val="right"/>
              <w:bidi/>
            </w:pPr>
            <w:r>
              <w:rPr>
                <w:sz w:val="18"/>
              </w:rPr>
              <w:t>التحليل الأدبي</w:t>
            </w:r>
          </w:p>
        </w:tc>
        <w:tc>
          <w:tcPr>
            <w:tcW w:type="dxa" w:w="3952"/>
            <w:vAlign w:val="center"/>
          </w:tcPr>
          <w:p>
            <w:pPr>
              <w:spacing w:line="283" w:lineRule="auto" w:after="0"/>
              <w:jc w:val="right"/>
              <w:bidi/>
            </w:pPr>
            <w:r>
              <w:rPr>
                <w:sz w:val="18"/>
              </w:rPr>
              <w:t>قوي في السرد والتكرار والصوت؛ وقد ينفصل عن المرجعية التفسيرية.</w:t>
            </w:r>
          </w:p>
        </w:tc>
      </w:tr>
      <w:tr>
        <w:tc>
          <w:tcPr>
            <w:tcW w:type="dxa" w:w="3952"/>
            <w:vAlign w:val="center"/>
          </w:tcPr>
          <w:p>
            <w:pPr>
              <w:spacing w:line="283" w:lineRule="auto" w:after="0"/>
              <w:jc w:val="right"/>
              <w:bidi/>
            </w:pPr>
            <w:r>
              <w:rPr>
                <w:sz w:val="18"/>
              </w:rPr>
              <w:t>التحليل الحجاجي</w:t>
            </w:r>
          </w:p>
        </w:tc>
        <w:tc>
          <w:tcPr>
            <w:tcW w:type="dxa" w:w="3952"/>
            <w:vAlign w:val="center"/>
          </w:tcPr>
          <w:p>
            <w:pPr>
              <w:spacing w:line="283" w:lineRule="auto" w:after="0"/>
              <w:jc w:val="right"/>
              <w:bidi/>
            </w:pPr>
            <w:r>
              <w:rPr>
                <w:sz w:val="18"/>
              </w:rPr>
              <w:t>يكشف الدعوى والاعتراض والبرهان؛ ولا يفسر كل السور بالنمط نفسه.</w:t>
            </w:r>
          </w:p>
        </w:tc>
      </w:tr>
      <w:tr>
        <w:tc>
          <w:tcPr>
            <w:tcW w:type="dxa" w:w="3952"/>
            <w:vAlign w:val="center"/>
          </w:tcPr>
          <w:p>
            <w:pPr>
              <w:spacing w:line="283" w:lineRule="auto" w:after="0"/>
              <w:jc w:val="right"/>
              <w:bidi/>
            </w:pPr>
            <w:r>
              <w:rPr>
                <w:sz w:val="18"/>
              </w:rPr>
              <w:t>التحليل القصصي</w:t>
            </w:r>
          </w:p>
        </w:tc>
        <w:tc>
          <w:tcPr>
            <w:tcW w:type="dxa" w:w="3952"/>
            <w:vAlign w:val="center"/>
          </w:tcPr>
          <w:p>
            <w:pPr>
              <w:spacing w:line="283" w:lineRule="auto" w:after="0"/>
              <w:jc w:val="right"/>
              <w:bidi/>
            </w:pPr>
            <w:r>
              <w:rPr>
                <w:sz w:val="18"/>
              </w:rPr>
              <w:t>مفيد في السور السردية؛ ويحتاج إلى ربط القصص ببقية الخطاب.</w:t>
            </w:r>
          </w:p>
        </w:tc>
      </w:tr>
      <w:tr>
        <w:tc>
          <w:tcPr>
            <w:tcW w:type="dxa" w:w="3952"/>
            <w:vAlign w:val="center"/>
          </w:tcPr>
          <w:p>
            <w:pPr>
              <w:spacing w:line="283" w:lineRule="auto" w:after="0"/>
              <w:jc w:val="right"/>
              <w:bidi/>
            </w:pPr>
            <w:r>
              <w:rPr>
                <w:sz w:val="18"/>
              </w:rPr>
              <w:t>التحليل المقاصدي</w:t>
            </w:r>
          </w:p>
        </w:tc>
        <w:tc>
          <w:tcPr>
            <w:tcW w:type="dxa" w:w="3952"/>
            <w:vAlign w:val="center"/>
          </w:tcPr>
          <w:p>
            <w:pPr>
              <w:spacing w:line="283" w:lineRule="auto" w:after="0"/>
              <w:jc w:val="right"/>
              <w:bidi/>
            </w:pPr>
            <w:r>
              <w:rPr>
                <w:sz w:val="18"/>
              </w:rPr>
              <w:t>يكشف اتجاه السورة؛ وقد يقدم المقصد على الدلالة.</w:t>
            </w:r>
          </w:p>
        </w:tc>
      </w:tr>
      <w:tr>
        <w:tc>
          <w:tcPr>
            <w:tcW w:type="dxa" w:w="3952"/>
            <w:vAlign w:val="center"/>
          </w:tcPr>
          <w:p>
            <w:pPr>
              <w:spacing w:line="283" w:lineRule="auto" w:after="0"/>
              <w:jc w:val="right"/>
              <w:bidi/>
            </w:pPr>
            <w:r>
              <w:rPr>
                <w:sz w:val="18"/>
              </w:rPr>
              <w:t>التفسير السياقي</w:t>
            </w:r>
          </w:p>
        </w:tc>
        <w:tc>
          <w:tcPr>
            <w:tcW w:type="dxa" w:w="3952"/>
            <w:vAlign w:val="center"/>
          </w:tcPr>
          <w:p>
            <w:pPr>
              <w:spacing w:line="283" w:lineRule="auto" w:after="0"/>
              <w:jc w:val="right"/>
              <w:bidi/>
            </w:pPr>
            <w:r>
              <w:rPr>
                <w:sz w:val="18"/>
              </w:rPr>
              <w:t>يحفظ المقطع والسورة؛ وخطره عبادة السياق.</w:t>
            </w:r>
          </w:p>
        </w:tc>
      </w:tr>
      <w:tr>
        <w:tc>
          <w:tcPr>
            <w:tcW w:type="dxa" w:w="3952"/>
            <w:vAlign w:val="center"/>
          </w:tcPr>
          <w:p>
            <w:pPr>
              <w:spacing w:line="283" w:lineRule="auto" w:after="0"/>
              <w:jc w:val="right"/>
              <w:bidi/>
            </w:pPr>
            <w:r>
              <w:rPr>
                <w:sz w:val="18"/>
              </w:rPr>
              <w:t>التحليل اللساني النصي</w:t>
            </w:r>
          </w:p>
        </w:tc>
        <w:tc>
          <w:tcPr>
            <w:tcW w:type="dxa" w:w="3952"/>
            <w:vAlign w:val="center"/>
          </w:tcPr>
          <w:p>
            <w:pPr>
              <w:spacing w:line="283" w:lineRule="auto" w:after="0"/>
              <w:jc w:val="right"/>
              <w:bidi/>
            </w:pPr>
            <w:r>
              <w:rPr>
                <w:sz w:val="18"/>
              </w:rPr>
              <w:t>يوثق الإحالات والروابط؛ وقد يحصر الوحدة في التماسك اللغوي.</w:t>
            </w:r>
          </w:p>
        </w:tc>
      </w:tr>
      <w:tr>
        <w:tc>
          <w:tcPr>
            <w:tcW w:type="dxa" w:w="3952"/>
            <w:vAlign w:val="center"/>
          </w:tcPr>
          <w:p>
            <w:pPr>
              <w:spacing w:line="283" w:lineRule="auto" w:after="0"/>
              <w:jc w:val="right"/>
              <w:bidi/>
            </w:pPr>
            <w:r>
              <w:rPr>
                <w:sz w:val="18"/>
              </w:rPr>
              <w:t>التحليل الحاسوبي</w:t>
            </w:r>
          </w:p>
        </w:tc>
        <w:tc>
          <w:tcPr>
            <w:tcW w:type="dxa" w:w="3952"/>
            <w:vAlign w:val="center"/>
          </w:tcPr>
          <w:p>
            <w:pPr>
              <w:spacing w:line="283" w:lineRule="auto" w:after="0"/>
              <w:jc w:val="right"/>
              <w:bidi/>
            </w:pPr>
            <w:r>
              <w:rPr>
                <w:sz w:val="18"/>
              </w:rPr>
              <w:t>يكشف التكرار والتشابه؛ ولا يثبت المقصد أو الحاكمية بذاته.</w:t>
            </w:r>
          </w:p>
        </w:tc>
      </w:tr>
    </w:tbl>
    <w:p/>
    <w:p>
      <w:pPr>
        <w:pStyle w:val="Heading2"/>
        <w:spacing w:line="283" w:lineRule="auto" w:after="120"/>
        <w:jc w:val="right"/>
        <w:keepNext/>
        <w:bidi/>
      </w:pPr>
      <w:r>
        <w:t>النظم البلاغي</w:t>
      </w:r>
    </w:p>
    <w:p>
      <w:pPr>
        <w:spacing w:line="283" w:lineRule="auto" w:after="80"/>
        <w:ind w:firstLine="397"/>
        <w:jc w:val="both"/>
        <w:bidi/>
      </w:pPr>
      <w:r>
        <w:t>قوته في العلاقات والتركيب؛ وخطره في البقاء عند الجملة أحياناً.</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المناسبة بين الآيات والسور</w:t>
      </w:r>
    </w:p>
    <w:p>
      <w:pPr>
        <w:spacing w:line="283" w:lineRule="auto" w:after="80"/>
        <w:ind w:firstLine="397"/>
        <w:jc w:val="both"/>
        <w:bidi/>
      </w:pPr>
      <w:r>
        <w:t>يحفظ الاتصال؛ وقد يتكلف مناسبة لكل مجاورة.</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الوحدة العضوية</w:t>
      </w:r>
    </w:p>
    <w:p>
      <w:pPr>
        <w:spacing w:line="283" w:lineRule="auto" w:after="80"/>
        <w:ind w:firstLine="397"/>
        <w:jc w:val="both"/>
        <w:bidi/>
      </w:pPr>
      <w:r>
        <w:t>يبحث انتظام السورة ككل؛ وقد يبالغ في الموضوع الواحد.</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الوحدة الموضوعية للسورة</w:t>
      </w:r>
    </w:p>
    <w:p>
      <w:pPr>
        <w:spacing w:line="283" w:lineRule="auto" w:after="80"/>
        <w:ind w:firstLine="397"/>
        <w:jc w:val="both"/>
        <w:bidi/>
      </w:pPr>
      <w:r>
        <w:t>يحدد موضوعاً أو محوراً؛ وخطره اختزال التنوع.</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البنية الحلقية</w:t>
      </w:r>
    </w:p>
    <w:p>
      <w:pPr>
        <w:spacing w:line="283" w:lineRule="auto" w:after="80"/>
        <w:ind w:firstLine="397"/>
        <w:jc w:val="both"/>
        <w:bidi/>
      </w:pPr>
      <w:r>
        <w:t>تكشف الرجوع والتناظر؛ وخطرها فرض التماثل العددي أو الدائري.</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التحليل الأدبي</w:t>
      </w:r>
    </w:p>
    <w:p>
      <w:pPr>
        <w:spacing w:line="283" w:lineRule="auto" w:after="80"/>
        <w:ind w:firstLine="397"/>
        <w:jc w:val="both"/>
        <w:bidi/>
      </w:pPr>
      <w:r>
        <w:t>قوي في السرد والتكرار والصوت؛ وقد ينفصل عن المرجعية التفسيرية.</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التحليل الحجاجي</w:t>
      </w:r>
    </w:p>
    <w:p>
      <w:pPr>
        <w:spacing w:line="283" w:lineRule="auto" w:after="80"/>
        <w:ind w:firstLine="397"/>
        <w:jc w:val="both"/>
        <w:bidi/>
      </w:pPr>
      <w:r>
        <w:t>يكشف الدعوى والاعتراض والبرهان؛ ولا يفسر كل السور بالنمط نفسه.</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التحليل القصصي</w:t>
      </w:r>
    </w:p>
    <w:p>
      <w:pPr>
        <w:spacing w:line="283" w:lineRule="auto" w:after="80"/>
        <w:ind w:firstLine="397"/>
        <w:jc w:val="both"/>
        <w:bidi/>
      </w:pPr>
      <w:r>
        <w:t>مفيد في السور السردية؛ ويحتاج إلى ربط القصص ببقية الخطاب.</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التحليل المقاصدي</w:t>
      </w:r>
    </w:p>
    <w:p>
      <w:pPr>
        <w:spacing w:line="283" w:lineRule="auto" w:after="80"/>
        <w:ind w:firstLine="397"/>
        <w:jc w:val="both"/>
        <w:bidi/>
      </w:pPr>
      <w:r>
        <w:t>يكشف اتجاه السورة؛ وقد يقدم المقصد على الدلالة.</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التفسير السياقي</w:t>
      </w:r>
    </w:p>
    <w:p>
      <w:pPr>
        <w:spacing w:line="283" w:lineRule="auto" w:after="80"/>
        <w:ind w:firstLine="397"/>
        <w:jc w:val="both"/>
        <w:bidi/>
      </w:pPr>
      <w:r>
        <w:t>يحفظ المقطع والسورة؛ وخطره عبادة السياق.</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التحليل اللساني النصي</w:t>
      </w:r>
    </w:p>
    <w:p>
      <w:pPr>
        <w:spacing w:line="283" w:lineRule="auto" w:after="80"/>
        <w:ind w:firstLine="397"/>
        <w:jc w:val="both"/>
        <w:bidi/>
      </w:pPr>
      <w:r>
        <w:t>يوثق الإحالات والروابط؛ وقد يحصر الوحدة في التماسك اللغوي.</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pPr>
        <w:pStyle w:val="Heading2"/>
        <w:spacing w:line="283" w:lineRule="auto" w:after="120"/>
        <w:jc w:val="right"/>
        <w:keepNext/>
        <w:bidi/>
      </w:pPr>
      <w:r>
        <w:t>التحليل الحاسوبي</w:t>
      </w:r>
    </w:p>
    <w:p>
      <w:pPr>
        <w:spacing w:line="283" w:lineRule="auto" w:after="80"/>
        <w:ind w:firstLine="397"/>
        <w:jc w:val="both"/>
        <w:bidi/>
      </w:pPr>
      <w:r>
        <w:t>يكشف التكرار والتشابه؛ ولا يثبت المقصد أو الحاكمية بذاته.</w:t>
      </w:r>
    </w:p>
    <w:p>
      <w:pPr>
        <w:spacing w:line="283" w:lineRule="auto" w:after="80"/>
        <w:ind w:firstLine="397"/>
        <w:jc w:val="both"/>
        <w:bidi/>
      </w:pPr>
      <w:r>
        <w:t>يستوعب منطق البيان أداة هذه المدرسة بقدر ما تثبته، ثم يردها إلى السورة والقرآن والمحكم والسياق والميزان. ولا تُرفض المدرسة بهويتها ولا تُقبل بنتائجها جملةً؛ بل تُختبر أدواتها على مواضع ناجحة وحدية ومخالفة.</w:t>
      </w:r>
    </w:p>
    <w:p>
      <w:r>
        <w:br w:type="page"/>
      </w:r>
    </w:p>
    <w:p>
      <w:pPr>
        <w:pStyle w:val="Heading1"/>
        <w:spacing w:line="283" w:lineRule="auto" w:after="120"/>
        <w:jc w:val="right"/>
        <w:keepNext/>
        <w:bidi/>
      </w:pPr>
      <w:r>
        <w:t>القسم التركيبي السادس: المختبرات التطبيقية في السور</w:t>
      </w:r>
    </w:p>
    <w:p>
      <w:pPr>
        <w:pStyle w:val="Heading2"/>
        <w:spacing w:line="283" w:lineRule="auto" w:after="120"/>
        <w:jc w:val="right"/>
        <w:keepNext/>
        <w:bidi/>
      </w:pPr>
      <w:r>
        <w:t>مختبر سورة الفاتحة</w:t>
      </w:r>
    </w:p>
    <w:p>
      <w:pPr>
        <w:spacing w:line="283" w:lineRule="auto" w:after="80"/>
        <w:ind w:firstLine="397"/>
        <w:jc w:val="both"/>
        <w:bidi/>
      </w:pPr>
      <w:r>
        <w:t>سؤال المختبر: كيف تنتظم السورة حول الحمد والربوبية والعبادة والهداية والصراط بوصفها حركة خطابية مكثفة.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البقرة</w:t>
      </w:r>
    </w:p>
    <w:p>
      <w:pPr>
        <w:spacing w:line="283" w:lineRule="auto" w:after="80"/>
        <w:ind w:firstLine="397"/>
        <w:jc w:val="both"/>
        <w:bidi/>
      </w:pPr>
      <w:r>
        <w:t>سؤال المختبر: كيف تنتظم السورة حول الهداية والاستخلاف والميثاق والابتلاء والتشريع في سورة طويلة متعددة المراكز.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آل عمران</w:t>
      </w:r>
    </w:p>
    <w:p>
      <w:pPr>
        <w:spacing w:line="283" w:lineRule="auto" w:after="80"/>
        <w:ind w:firstLine="397"/>
        <w:jc w:val="both"/>
        <w:bidi/>
      </w:pPr>
      <w:r>
        <w:t>سؤال المختبر: كيف تنتظم السورة حول الكتاب والابتلاء والثبات والحجاج مع أهل الكتاب وأحد.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النساء</w:t>
      </w:r>
    </w:p>
    <w:p>
      <w:pPr>
        <w:spacing w:line="283" w:lineRule="auto" w:after="80"/>
        <w:ind w:firstLine="397"/>
        <w:jc w:val="both"/>
        <w:bidi/>
      </w:pPr>
      <w:r>
        <w:t>سؤال المختبر: كيف تنتظم السورة حول بناء الجماعة والحقوق والقسط والأسرة والسلطة والمواثيق.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المائدة</w:t>
      </w:r>
    </w:p>
    <w:p>
      <w:pPr>
        <w:spacing w:line="283" w:lineRule="auto" w:after="80"/>
        <w:ind w:firstLine="397"/>
        <w:jc w:val="both"/>
        <w:bidi/>
      </w:pPr>
      <w:r>
        <w:t>سؤال المختبر: كيف تنتظم السورة حول العقود والوفاء والشرائع والشهادة والولاية والمائدة والمآل.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الأنعام</w:t>
      </w:r>
    </w:p>
    <w:p>
      <w:pPr>
        <w:spacing w:line="283" w:lineRule="auto" w:after="80"/>
        <w:ind w:firstLine="397"/>
        <w:jc w:val="both"/>
        <w:bidi/>
      </w:pPr>
      <w:r>
        <w:t>سؤال المختبر: كيف تنتظم السورة حول التوحيد والحجاج في الشرك والخلق والرزق والهدى.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الأعراف</w:t>
      </w:r>
    </w:p>
    <w:p>
      <w:pPr>
        <w:spacing w:line="283" w:lineRule="auto" w:after="80"/>
        <w:ind w:firstLine="397"/>
        <w:jc w:val="both"/>
        <w:bidi/>
      </w:pPr>
      <w:r>
        <w:t>سؤال المختبر: كيف تنتظم السورة حول الميثاق والاستكبار والرسل ومآلات الأمم.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يوسف</w:t>
      </w:r>
    </w:p>
    <w:p>
      <w:pPr>
        <w:spacing w:line="283" w:lineRule="auto" w:after="80"/>
        <w:ind w:firstLine="397"/>
        <w:jc w:val="both"/>
        <w:bidi/>
      </w:pPr>
      <w:r>
        <w:t>سؤال المختبر: كيف تنتظم السورة حول بنية قصصية متصلة من الرؤيا إلى تحقق المآل.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الكهف</w:t>
      </w:r>
    </w:p>
    <w:p>
      <w:pPr>
        <w:spacing w:line="283" w:lineRule="auto" w:after="80"/>
        <w:ind w:firstLine="397"/>
        <w:jc w:val="both"/>
        <w:bidi/>
      </w:pPr>
      <w:r>
        <w:t>سؤال المختبر: كيف تنتظم السورة حول الفتن والعلم والقدرة والمال والزمن عبر أربع وحدات قصصية.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مريم</w:t>
      </w:r>
    </w:p>
    <w:p>
      <w:pPr>
        <w:spacing w:line="283" w:lineRule="auto" w:after="80"/>
        <w:ind w:firstLine="397"/>
        <w:jc w:val="both"/>
        <w:bidi/>
      </w:pPr>
      <w:r>
        <w:t>سؤال المختبر: كيف تنتظم السورة حول الرحمة والولادة والنبوة والعبودية وجدال الشرك.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طه</w:t>
      </w:r>
    </w:p>
    <w:p>
      <w:pPr>
        <w:spacing w:line="283" w:lineRule="auto" w:after="80"/>
        <w:ind w:firstLine="397"/>
        <w:jc w:val="both"/>
        <w:bidi/>
      </w:pPr>
      <w:r>
        <w:t>سؤال المختبر: كيف تنتظم السورة حول الذكر والوحي وقصة موسى وفتنة آدم والمآل.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الشعراء</w:t>
      </w:r>
    </w:p>
    <w:p>
      <w:pPr>
        <w:spacing w:line="283" w:lineRule="auto" w:after="80"/>
        <w:ind w:firstLine="397"/>
        <w:jc w:val="both"/>
        <w:bidi/>
      </w:pPr>
      <w:r>
        <w:t>سؤال المختبر: كيف تنتظم السورة حول تكرار نمط الرسالات والتكذيب والمآل مع لازمة حاكمة.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النمل</w:t>
      </w:r>
    </w:p>
    <w:p>
      <w:pPr>
        <w:spacing w:line="283" w:lineRule="auto" w:after="80"/>
        <w:ind w:firstLine="397"/>
        <w:jc w:val="both"/>
        <w:bidi/>
      </w:pPr>
      <w:r>
        <w:t>سؤال المختبر: كيف تنتظم السورة حول العلم والملك والآيات وسليمان وموسى وصالح ولوط والمآل.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القصص</w:t>
      </w:r>
    </w:p>
    <w:p>
      <w:pPr>
        <w:spacing w:line="283" w:lineRule="auto" w:after="80"/>
        <w:ind w:firstLine="397"/>
        <w:jc w:val="both"/>
        <w:bidi/>
      </w:pPr>
      <w:r>
        <w:t>سؤال المختبر: كيف تنتظم السورة حول الاصطناع والتمكين وقارون والرسالة بين بدايات موسى وخاتمة الوحي.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العنكبوت</w:t>
      </w:r>
    </w:p>
    <w:p>
      <w:pPr>
        <w:spacing w:line="283" w:lineRule="auto" w:after="80"/>
        <w:ind w:firstLine="397"/>
        <w:jc w:val="both"/>
        <w:bidi/>
      </w:pPr>
      <w:r>
        <w:t>سؤال المختبر: كيف تنتظم السورة حول الابتلاء والفتنة والهجرة والأمثال ومصير المكذبين.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الروم</w:t>
      </w:r>
    </w:p>
    <w:p>
      <w:pPr>
        <w:spacing w:line="283" w:lineRule="auto" w:after="80"/>
        <w:ind w:firstLine="397"/>
        <w:jc w:val="both"/>
        <w:bidi/>
      </w:pPr>
      <w:r>
        <w:t>سؤال المختبر: كيف تنتظم السورة حول السنن والتقلب والخلق والفطرة والعمران والمآل.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الرحمن</w:t>
      </w:r>
    </w:p>
    <w:p>
      <w:pPr>
        <w:spacing w:line="283" w:lineRule="auto" w:after="80"/>
        <w:ind w:firstLine="397"/>
        <w:jc w:val="both"/>
        <w:bidi/>
      </w:pPr>
      <w:r>
        <w:t>سؤال المختبر: كيف تنتظم السورة حول تعليم القرآن والبيان والميزان والآلاء والمآل.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الواقعة</w:t>
      </w:r>
    </w:p>
    <w:p>
      <w:pPr>
        <w:spacing w:line="283" w:lineRule="auto" w:after="80"/>
        <w:ind w:firstLine="397"/>
        <w:jc w:val="both"/>
        <w:bidi/>
      </w:pPr>
      <w:r>
        <w:t>سؤال المختبر: كيف تنتظم السورة حول تقسيم الناس والموت والخلق والرزق والتنزيل والمصير.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الحديد</w:t>
      </w:r>
    </w:p>
    <w:p>
      <w:pPr>
        <w:spacing w:line="283" w:lineRule="auto" w:after="80"/>
        <w:ind w:firstLine="397"/>
        <w:jc w:val="both"/>
        <w:bidi/>
      </w:pPr>
      <w:r>
        <w:t>سؤال المختبر: كيف تنتظم السورة حول التسبيح والملك والإنفاق والنور والميزان والدنيا والرسالات.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pPr>
        <w:pStyle w:val="Heading2"/>
        <w:spacing w:line="283" w:lineRule="auto" w:after="120"/>
        <w:jc w:val="right"/>
        <w:keepNext/>
        <w:bidi/>
      </w:pPr>
      <w:r>
        <w:t>مختبر سورة الحشر</w:t>
      </w:r>
    </w:p>
    <w:p>
      <w:pPr>
        <w:spacing w:line="283" w:lineRule="auto" w:after="80"/>
        <w:ind w:firstLine="397"/>
        <w:jc w:val="both"/>
        <w:bidi/>
      </w:pPr>
      <w:r>
        <w:t>سؤال المختبر: كيف تنتظم السورة حول الإجلاء والفيء والمنافقون والتقوى وأسماء الله في خاتمة مترابطة. من غير اختزال بقية مقاطعها؟</w:t>
      </w:r>
    </w:p>
    <w:p>
      <w:pPr>
        <w:pStyle w:val="Heading3"/>
        <w:spacing w:line="283" w:lineRule="auto" w:after="120"/>
        <w:jc w:val="right"/>
        <w:keepNext/>
        <w:bidi/>
      </w:pPr>
      <w:r>
        <w:t>المطلع والخاتمة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تحديد المقاطع</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الروابط والانتقالات</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المحور أو المحاور</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الحالات الحدية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الفرضية المنافسة</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p>
      <w:pPr>
        <w:pStyle w:val="Heading3"/>
        <w:spacing w:line="283" w:lineRule="auto" w:after="120"/>
        <w:jc w:val="right"/>
        <w:keepNext/>
        <w:bidi/>
      </w:pPr>
      <w:r>
        <w:t>الحكم النهائي</w:t>
      </w:r>
    </w:p>
    <w:p>
      <w:pPr>
        <w:spacing w:line="283" w:lineRule="auto" w:after="80"/>
        <w:ind w:firstLine="397"/>
        <w:jc w:val="both"/>
        <w:bidi/>
      </w:pPr>
      <w:r>
        <w:t>يُحلل هذا البعد من داخل السورة أولاً، ويُذكر الدليل النصي ودرجة الثقة. ثم تُختبر القراءة بالمقاطع التي تبدو بعيدةً عن النموذج، ولا يُسمح بتعديل معنى الآية لمجرد حفظ وحدة مقترحة.</w:t>
      </w:r>
    </w:p>
    <w:p>
      <w:pPr>
        <w:spacing w:line="283" w:lineRule="auto" w:after="80"/>
        <w:ind w:firstLine="397"/>
        <w:jc w:val="both"/>
        <w:bidi/>
      </w:pPr>
      <w:r>
        <w:t>يُقارن النموذج بقراءة بديلة، ويُسجل ما يفسره كل نموذج وما يعجز عنه، وتكون النتيجة راجحةً أو محتملةً بقدر الأدلة لا بقدر شهرة عنوان السورة أو جمال الرسم.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حدود المقاطع</w:t>
            </w:r>
          </w:p>
        </w:tc>
        <w:tc>
          <w:tcPr>
            <w:tcW w:type="dxa" w:w="3952"/>
            <w:vAlign w:val="center"/>
          </w:tcPr>
          <w:p>
            <w:pPr>
              <w:spacing w:line="283" w:lineRule="auto" w:after="0"/>
              <w:jc w:val="right"/>
              <w:bidi/>
            </w:pPr>
            <w:r>
              <w:rPr>
                <w:sz w:val="18"/>
              </w:rPr>
              <w:t>مقترحة بدرجات</w:t>
            </w:r>
          </w:p>
        </w:tc>
      </w:tr>
      <w:tr>
        <w:tc>
          <w:tcPr>
            <w:tcW w:type="dxa" w:w="3952"/>
            <w:vAlign w:val="center"/>
          </w:tcPr>
          <w:p>
            <w:pPr>
              <w:spacing w:line="283" w:lineRule="auto" w:after="0"/>
              <w:jc w:val="right"/>
              <w:bidi/>
            </w:pPr>
            <w:r>
              <w:rPr>
                <w:sz w:val="18"/>
              </w:rPr>
              <w:t>الوظائف</w:t>
            </w:r>
          </w:p>
        </w:tc>
        <w:tc>
          <w:tcPr>
            <w:tcW w:type="dxa" w:w="3952"/>
            <w:vAlign w:val="center"/>
          </w:tcPr>
          <w:p>
            <w:pPr>
              <w:spacing w:line="283" w:lineRule="auto" w:after="0"/>
              <w:jc w:val="right"/>
              <w:bidi/>
            </w:pPr>
            <w:r>
              <w:rPr>
                <w:sz w:val="18"/>
              </w:rPr>
              <w:t>حجاج/قصص/تشريع/وعظ/مآل</w:t>
            </w:r>
          </w:p>
        </w:tc>
      </w:tr>
      <w:tr>
        <w:tc>
          <w:tcPr>
            <w:tcW w:type="dxa" w:w="3952"/>
            <w:vAlign w:val="center"/>
          </w:tcPr>
          <w:p>
            <w:pPr>
              <w:spacing w:line="283" w:lineRule="auto" w:after="0"/>
              <w:jc w:val="right"/>
              <w:bidi/>
            </w:pPr>
            <w:r>
              <w:rPr>
                <w:sz w:val="18"/>
              </w:rPr>
              <w:t>المحور</w:t>
            </w:r>
          </w:p>
        </w:tc>
        <w:tc>
          <w:tcPr>
            <w:tcW w:type="dxa" w:w="3952"/>
            <w:vAlign w:val="center"/>
          </w:tcPr>
          <w:p>
            <w:pPr>
              <w:spacing w:line="283" w:lineRule="auto" w:after="0"/>
              <w:jc w:val="right"/>
              <w:bidi/>
            </w:pPr>
            <w:r>
              <w:rPr>
                <w:sz w:val="18"/>
              </w:rPr>
              <w:t>فرضية معللة</w:t>
            </w:r>
          </w:p>
        </w:tc>
      </w:tr>
      <w:tr>
        <w:tc>
          <w:tcPr>
            <w:tcW w:type="dxa" w:w="3952"/>
            <w:vAlign w:val="center"/>
          </w:tcPr>
          <w:p>
            <w:pPr>
              <w:spacing w:line="283" w:lineRule="auto" w:after="0"/>
              <w:jc w:val="right"/>
              <w:bidi/>
            </w:pPr>
            <w:r>
              <w:rPr>
                <w:sz w:val="18"/>
              </w:rPr>
              <w:t>الروابط</w:t>
            </w:r>
          </w:p>
        </w:tc>
        <w:tc>
          <w:tcPr>
            <w:tcW w:type="dxa" w:w="3952"/>
            <w:vAlign w:val="center"/>
          </w:tcPr>
          <w:p>
            <w:pPr>
              <w:spacing w:line="283" w:lineRule="auto" w:after="0"/>
              <w:jc w:val="right"/>
              <w:bidi/>
            </w:pPr>
            <w:r>
              <w:rPr>
                <w:sz w:val="18"/>
              </w:rPr>
              <w:t>أنواع وقرائن</w:t>
            </w:r>
          </w:p>
        </w:tc>
      </w:tr>
      <w:t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قراءة بديلة</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درجة وحدود</w:t>
            </w:r>
          </w:p>
        </w:tc>
      </w:tr>
    </w:tbl>
    <w:p/>
    <w:p>
      <w:r>
        <w:br w:type="page"/>
      </w:r>
    </w:p>
    <w:p>
      <w:pPr>
        <w:pStyle w:val="Heading1"/>
        <w:spacing w:line="283" w:lineRule="auto" w:after="120"/>
        <w:jc w:val="right"/>
        <w:keepNext/>
        <w:bidi/>
      </w:pPr>
      <w:r>
        <w:t>القسم التركيبي السابع: الخوارزمية النهائية لتحليل السورة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المرحلة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تحرير سؤال الدراسة وعدم افتراض موضوع السورة.</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تثبيت نص السورة والقراءات المؤثرة.</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قراءة السورة كاملةً قبل التقسيم.</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رصد المتكلمين والمخاطبين والضمائر.</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رصد التغيرات الزمنية والمكانية والمشهدية.</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رصد الروابط والاستئنافات واللوازم والتكرارات.</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اقتراح حدود أولية للمقاطع مع قرائنها.</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تسجيل القرائن النافية لكل حد.</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وصف وظيفة كل مقطع قبل تسميته موضوعياً.</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تحليل المطلع والخاتمة دون منحهما حكماً مسبقاً.</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بناء خريطة العلاقات بين المقاطع.</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اقتراح محور أو محاور أو نمط بنيوي.</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بناء فرضية منافسة مختلفة فعلاً.</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اختبار الآيات والمقاطع الحدية.</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مقارنة النماذج بمعايير الشمول والاقتصاد والاتساق.</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الرجوع إلى التصريف القرآني والمحكمات للتصحيح.</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فصل الوصف البنيوي من التفسير والاستنباط.</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صياغة النتيجة بدرجة ثقة وحدود.</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مراجعة السورة مرةً أخرى من غير الخريطة.</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حفظ الإصدار والاعتراضات والمراجعة اللاحقة.</w:t>
            </w:r>
          </w:p>
        </w:tc>
      </w:tr>
    </w:tbl>
    <w:p/>
    <w:p>
      <w:pPr>
        <w:spacing w:line="283" w:lineRule="auto" w:after="80"/>
        <w:ind w:firstLine="397"/>
        <w:jc w:val="both"/>
        <w:bidi/>
      </w:pPr>
      <w:r>
        <w:t>المرحلة 1: تحرير سؤال الدراسة وعدم افتراض موضوع السورة.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2: تثبيت نص السورة والقراءات المؤثرة.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3: قراءة السورة كاملةً قبل التقسيم.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4: رصد المتكلمين والمخاطبين والضمائر.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5: رصد التغيرات الزمنية والمكانية والمشهدية.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6: رصد الروابط والاستئنافات واللوازم والتكرارات.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7: اقتراح حدود أولية للمقاطع مع قرائنها.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8: تسجيل القرائن النافية لكل حد.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9: وصف وظيفة كل مقطع قبل تسميته موضوعياً.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10: تحليل المطلع والخاتمة دون منحهما حكماً مسبقاً.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11: بناء خريطة العلاقات بين المقاطع.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12: اقتراح محور أو محاور أو نمط بنيوي.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13: بناء فرضية منافسة مختلفة فعلاً.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14: اختبار الآيات والمقاطع الحدية.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15: مقارنة النماذج بمعايير الشمول والاقتصاد والاتساق.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16: الرجوع إلى التصريف القرآني والمحكمات للتصحيح.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17: فصل الوصف البنيوي من التفسير والاستنباط.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18: صياغة النتيجة بدرجة ثقة وحدود.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19: مراجعة السورة مرةً أخرى من غير الخريطة. ولا يُنتقل عنها إذا كان النقص جوهرياً في النص أو المقاطع أو العلاقة. وإذا كان النقص جزئياً، يُسجل أثره على درجة الوحدة ولا يُخفى في الخلاصة.</w:t>
      </w:r>
    </w:p>
    <w:p>
      <w:pPr>
        <w:spacing w:line="283" w:lineRule="auto" w:after="80"/>
        <w:ind w:firstLine="397"/>
        <w:jc w:val="both"/>
        <w:bidi/>
      </w:pPr>
      <w:r>
        <w:t>المرحلة 20: حفظ الإصدار والاعتراضات والمراجعة اللاحقة. ولا يُنتقل عنها إذا كان النقص جوهرياً في النص أو المقاطع أو العلاقة. وإذا كان النقص جزئياً، يُسجل أثره على درجة الوحدة ولا يُخفى في الخلاصة.</w:t>
      </w:r>
    </w:p>
    <w:p>
      <w:r>
        <w:br w:type="page"/>
      </w:r>
    </w:p>
    <w:p>
      <w:pPr>
        <w:pStyle w:val="Heading1"/>
        <w:spacing w:line="283" w:lineRule="auto" w:after="120"/>
        <w:jc w:val="right"/>
        <w:keepNext/>
        <w:bidi/>
      </w:pPr>
      <w:r>
        <w:t>القسم التركيبي الثامن: المصفوفة الحاسوبية للوحدة السُّورية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الوظيفة</w:t>
            </w:r>
          </w:p>
        </w:tc>
      </w:tr>
      <w:tr>
        <w:tc>
          <w:tcPr>
            <w:tcW w:type="dxa" w:w="3952"/>
            <w:vAlign w:val="center"/>
          </w:tcPr>
          <w:p>
            <w:pPr>
              <w:spacing w:line="283" w:lineRule="auto" w:after="0"/>
              <w:jc w:val="right"/>
              <w:bidi/>
            </w:pPr>
            <w:r>
              <w:rPr>
                <w:sz w:val="18"/>
              </w:rPr>
              <w:t>surah_id</w:t>
            </w:r>
          </w:p>
        </w:tc>
        <w:tc>
          <w:tcPr>
            <w:tcW w:type="dxa" w:w="3952"/>
            <w:vAlign w:val="center"/>
          </w:tcPr>
          <w:p>
            <w:pPr>
              <w:spacing w:line="283" w:lineRule="auto" w:after="0"/>
              <w:jc w:val="right"/>
              <w:bidi/>
            </w:pPr>
            <w:r>
              <w:rPr>
                <w:sz w:val="18"/>
              </w:rPr>
              <w:t>معرف السورة</w:t>
            </w:r>
          </w:p>
        </w:tc>
      </w:tr>
      <w:tr>
        <w:tc>
          <w:tcPr>
            <w:tcW w:type="dxa" w:w="3952"/>
            <w:vAlign w:val="center"/>
          </w:tcPr>
          <w:p>
            <w:pPr>
              <w:spacing w:line="283" w:lineRule="auto" w:after="0"/>
              <w:jc w:val="right"/>
              <w:bidi/>
            </w:pPr>
            <w:r>
              <w:rPr>
                <w:sz w:val="18"/>
              </w:rPr>
              <w:t>segment_id</w:t>
            </w:r>
          </w:p>
        </w:tc>
        <w:tc>
          <w:tcPr>
            <w:tcW w:type="dxa" w:w="3952"/>
            <w:vAlign w:val="center"/>
          </w:tcPr>
          <w:p>
            <w:pPr>
              <w:spacing w:line="283" w:lineRule="auto" w:after="0"/>
              <w:jc w:val="right"/>
              <w:bidi/>
            </w:pPr>
            <w:r>
              <w:rPr>
                <w:sz w:val="18"/>
              </w:rPr>
              <w:t>معرف المقطع</w:t>
            </w:r>
          </w:p>
        </w:tc>
      </w:tr>
      <w:tr>
        <w:tc>
          <w:tcPr>
            <w:tcW w:type="dxa" w:w="3952"/>
            <w:vAlign w:val="center"/>
          </w:tcPr>
          <w:p>
            <w:pPr>
              <w:spacing w:line="283" w:lineRule="auto" w:after="0"/>
              <w:jc w:val="right"/>
              <w:bidi/>
            </w:pPr>
            <w:r>
              <w:rPr>
                <w:sz w:val="18"/>
              </w:rPr>
              <w:t>start_ayah</w:t>
            </w:r>
          </w:p>
        </w:tc>
        <w:tc>
          <w:tcPr>
            <w:tcW w:type="dxa" w:w="3952"/>
            <w:vAlign w:val="center"/>
          </w:tcPr>
          <w:p>
            <w:pPr>
              <w:spacing w:line="283" w:lineRule="auto" w:after="0"/>
              <w:jc w:val="right"/>
              <w:bidi/>
            </w:pPr>
            <w:r>
              <w:rPr>
                <w:sz w:val="18"/>
              </w:rPr>
              <w:t>بداية المقطع</w:t>
            </w:r>
          </w:p>
        </w:tc>
      </w:tr>
      <w:tr>
        <w:tc>
          <w:tcPr>
            <w:tcW w:type="dxa" w:w="3952"/>
            <w:vAlign w:val="center"/>
          </w:tcPr>
          <w:p>
            <w:pPr>
              <w:spacing w:line="283" w:lineRule="auto" w:after="0"/>
              <w:jc w:val="right"/>
              <w:bidi/>
            </w:pPr>
            <w:r>
              <w:rPr>
                <w:sz w:val="18"/>
              </w:rPr>
              <w:t>end_ayah</w:t>
            </w:r>
          </w:p>
        </w:tc>
        <w:tc>
          <w:tcPr>
            <w:tcW w:type="dxa" w:w="3952"/>
            <w:vAlign w:val="center"/>
          </w:tcPr>
          <w:p>
            <w:pPr>
              <w:spacing w:line="283" w:lineRule="auto" w:after="0"/>
              <w:jc w:val="right"/>
              <w:bidi/>
            </w:pPr>
            <w:r>
              <w:rPr>
                <w:sz w:val="18"/>
              </w:rPr>
              <w:t>نهاية المقطع</w:t>
            </w:r>
          </w:p>
        </w:tc>
      </w:tr>
      <w:tr>
        <w:tc>
          <w:tcPr>
            <w:tcW w:type="dxa" w:w="3952"/>
            <w:vAlign w:val="center"/>
          </w:tcPr>
          <w:p>
            <w:pPr>
              <w:spacing w:line="283" w:lineRule="auto" w:after="0"/>
              <w:jc w:val="right"/>
              <w:bidi/>
            </w:pPr>
            <w:r>
              <w:rPr>
                <w:sz w:val="18"/>
              </w:rPr>
              <w:t>boundary_evidence</w:t>
            </w:r>
          </w:p>
        </w:tc>
        <w:tc>
          <w:tcPr>
            <w:tcW w:type="dxa" w:w="3952"/>
            <w:vAlign w:val="center"/>
          </w:tcPr>
          <w:p>
            <w:pPr>
              <w:spacing w:line="283" w:lineRule="auto" w:after="0"/>
              <w:jc w:val="right"/>
              <w:bidi/>
            </w:pPr>
            <w:r>
              <w:rPr>
                <w:sz w:val="18"/>
              </w:rPr>
              <w:t>قرائن الحد</w:t>
            </w:r>
          </w:p>
        </w:tc>
      </w:tr>
      <w:tr>
        <w:tc>
          <w:tcPr>
            <w:tcW w:type="dxa" w:w="3952"/>
            <w:vAlign w:val="center"/>
          </w:tcPr>
          <w:p>
            <w:pPr>
              <w:spacing w:line="283" w:lineRule="auto" w:after="0"/>
              <w:jc w:val="right"/>
              <w:bidi/>
            </w:pPr>
            <w:r>
              <w:rPr>
                <w:sz w:val="18"/>
              </w:rPr>
              <w:t>segment_function</w:t>
            </w:r>
          </w:p>
        </w:tc>
        <w:tc>
          <w:tcPr>
            <w:tcW w:type="dxa" w:w="3952"/>
            <w:vAlign w:val="center"/>
          </w:tcPr>
          <w:p>
            <w:pPr>
              <w:spacing w:line="283" w:lineRule="auto" w:after="0"/>
              <w:jc w:val="right"/>
              <w:bidi/>
            </w:pPr>
            <w:r>
              <w:rPr>
                <w:sz w:val="18"/>
              </w:rPr>
              <w:t>وظيفة المقطع</w:t>
            </w:r>
          </w:p>
        </w:tc>
      </w:tr>
      <w:tr>
        <w:tc>
          <w:tcPr>
            <w:tcW w:type="dxa" w:w="3952"/>
            <w:vAlign w:val="center"/>
          </w:tcPr>
          <w:p>
            <w:pPr>
              <w:spacing w:line="283" w:lineRule="auto" w:after="0"/>
              <w:jc w:val="right"/>
              <w:bidi/>
            </w:pPr>
            <w:r>
              <w:rPr>
                <w:sz w:val="18"/>
              </w:rPr>
              <w:t>speaker</w:t>
            </w:r>
          </w:p>
        </w:tc>
        <w:tc>
          <w:tcPr>
            <w:tcW w:type="dxa" w:w="3952"/>
            <w:vAlign w:val="center"/>
          </w:tcPr>
          <w:p>
            <w:pPr>
              <w:spacing w:line="283" w:lineRule="auto" w:after="0"/>
              <w:jc w:val="right"/>
              <w:bidi/>
            </w:pPr>
            <w:r>
              <w:rPr>
                <w:sz w:val="18"/>
              </w:rPr>
              <w:t>المتكلم</w:t>
            </w:r>
          </w:p>
        </w:tc>
      </w:tr>
      <w:tr>
        <w:tc>
          <w:tcPr>
            <w:tcW w:type="dxa" w:w="3952"/>
            <w:vAlign w:val="center"/>
          </w:tcPr>
          <w:p>
            <w:pPr>
              <w:spacing w:line="283" w:lineRule="auto" w:after="0"/>
              <w:jc w:val="right"/>
              <w:bidi/>
            </w:pPr>
            <w:r>
              <w:rPr>
                <w:sz w:val="18"/>
              </w:rPr>
              <w:t>audience</w:t>
            </w:r>
          </w:p>
        </w:tc>
        <w:tc>
          <w:tcPr>
            <w:tcW w:type="dxa" w:w="3952"/>
            <w:vAlign w:val="center"/>
          </w:tcPr>
          <w:p>
            <w:pPr>
              <w:spacing w:line="283" w:lineRule="auto" w:after="0"/>
              <w:jc w:val="right"/>
              <w:bidi/>
            </w:pPr>
            <w:r>
              <w:rPr>
                <w:sz w:val="18"/>
              </w:rPr>
              <w:t>المخاطب</w:t>
            </w:r>
          </w:p>
        </w:tc>
      </w:tr>
      <w:tr>
        <w:tc>
          <w:tcPr>
            <w:tcW w:type="dxa" w:w="3952"/>
            <w:vAlign w:val="center"/>
          </w:tcPr>
          <w:p>
            <w:pPr>
              <w:spacing w:line="283" w:lineRule="auto" w:after="0"/>
              <w:jc w:val="right"/>
              <w:bidi/>
            </w:pPr>
            <w:r>
              <w:rPr>
                <w:sz w:val="18"/>
              </w:rPr>
              <w:t>time_scene</w:t>
            </w:r>
          </w:p>
        </w:tc>
        <w:tc>
          <w:tcPr>
            <w:tcW w:type="dxa" w:w="3952"/>
            <w:vAlign w:val="center"/>
          </w:tcPr>
          <w:p>
            <w:pPr>
              <w:spacing w:line="283" w:lineRule="auto" w:after="0"/>
              <w:jc w:val="right"/>
              <w:bidi/>
            </w:pPr>
            <w:r>
              <w:rPr>
                <w:sz w:val="18"/>
              </w:rPr>
              <w:t>الزمن أو المشهد</w:t>
            </w:r>
          </w:p>
        </w:tc>
      </w:tr>
      <w:tr>
        <w:tc>
          <w:tcPr>
            <w:tcW w:type="dxa" w:w="3952"/>
            <w:vAlign w:val="center"/>
          </w:tcPr>
          <w:p>
            <w:pPr>
              <w:spacing w:line="283" w:lineRule="auto" w:after="0"/>
              <w:jc w:val="right"/>
              <w:bidi/>
            </w:pPr>
            <w:r>
              <w:rPr>
                <w:sz w:val="18"/>
              </w:rPr>
              <w:t>links_prev</w:t>
            </w:r>
          </w:p>
        </w:tc>
        <w:tc>
          <w:tcPr>
            <w:tcW w:type="dxa" w:w="3952"/>
            <w:vAlign w:val="center"/>
          </w:tcPr>
          <w:p>
            <w:pPr>
              <w:spacing w:line="283" w:lineRule="auto" w:after="0"/>
              <w:jc w:val="right"/>
              <w:bidi/>
            </w:pPr>
            <w:r>
              <w:rPr>
                <w:sz w:val="18"/>
              </w:rPr>
              <w:t>العلاقات بما سبق</w:t>
            </w:r>
          </w:p>
        </w:tc>
      </w:tr>
      <w:tr>
        <w:tc>
          <w:tcPr>
            <w:tcW w:type="dxa" w:w="3952"/>
            <w:vAlign w:val="center"/>
          </w:tcPr>
          <w:p>
            <w:pPr>
              <w:spacing w:line="283" w:lineRule="auto" w:after="0"/>
              <w:jc w:val="right"/>
              <w:bidi/>
            </w:pPr>
            <w:r>
              <w:rPr>
                <w:sz w:val="18"/>
              </w:rPr>
              <w:t>links_next</w:t>
            </w:r>
          </w:p>
        </w:tc>
        <w:tc>
          <w:tcPr>
            <w:tcW w:type="dxa" w:w="3952"/>
            <w:vAlign w:val="center"/>
          </w:tcPr>
          <w:p>
            <w:pPr>
              <w:spacing w:line="283" w:lineRule="auto" w:after="0"/>
              <w:jc w:val="right"/>
              <w:bidi/>
            </w:pPr>
            <w:r>
              <w:rPr>
                <w:sz w:val="18"/>
              </w:rPr>
              <w:t>العلاقات بما لحق</w:t>
            </w:r>
          </w:p>
        </w:tc>
      </w:tr>
      <w:tr>
        <w:tc>
          <w:tcPr>
            <w:tcW w:type="dxa" w:w="3952"/>
            <w:vAlign w:val="center"/>
          </w:tcPr>
          <w:p>
            <w:pPr>
              <w:spacing w:line="283" w:lineRule="auto" w:after="0"/>
              <w:jc w:val="right"/>
              <w:bidi/>
            </w:pPr>
            <w:r>
              <w:rPr>
                <w:sz w:val="18"/>
              </w:rPr>
              <w:t>refrain</w:t>
            </w:r>
          </w:p>
        </w:tc>
        <w:tc>
          <w:tcPr>
            <w:tcW w:type="dxa" w:w="3952"/>
            <w:vAlign w:val="center"/>
          </w:tcPr>
          <w:p>
            <w:pPr>
              <w:spacing w:line="283" w:lineRule="auto" w:after="0"/>
              <w:jc w:val="right"/>
              <w:bidi/>
            </w:pPr>
            <w:r>
              <w:rPr>
                <w:sz w:val="18"/>
              </w:rPr>
              <w:t>اللازمة أو التكرار</w:t>
            </w:r>
          </w:p>
        </w:tc>
      </w:tr>
      <w:tr>
        <w:tc>
          <w:tcPr>
            <w:tcW w:type="dxa" w:w="3952"/>
            <w:vAlign w:val="center"/>
          </w:tcPr>
          <w:p>
            <w:pPr>
              <w:spacing w:line="283" w:lineRule="auto" w:after="0"/>
              <w:jc w:val="right"/>
              <w:bidi/>
            </w:pPr>
            <w:r>
              <w:rPr>
                <w:sz w:val="18"/>
              </w:rPr>
              <w:t>opening_link</w:t>
            </w:r>
          </w:p>
        </w:tc>
        <w:tc>
          <w:tcPr>
            <w:tcW w:type="dxa" w:w="3952"/>
            <w:vAlign w:val="center"/>
          </w:tcPr>
          <w:p>
            <w:pPr>
              <w:spacing w:line="283" w:lineRule="auto" w:after="0"/>
              <w:jc w:val="right"/>
              <w:bidi/>
            </w:pPr>
            <w:r>
              <w:rPr>
                <w:sz w:val="18"/>
              </w:rPr>
              <w:t>العلاقة بالمطلع</w:t>
            </w:r>
          </w:p>
        </w:tc>
      </w:tr>
      <w:tr>
        <w:tc>
          <w:tcPr>
            <w:tcW w:type="dxa" w:w="3952"/>
            <w:vAlign w:val="center"/>
          </w:tcPr>
          <w:p>
            <w:pPr>
              <w:spacing w:line="283" w:lineRule="auto" w:after="0"/>
              <w:jc w:val="right"/>
              <w:bidi/>
            </w:pPr>
            <w:r>
              <w:rPr>
                <w:sz w:val="18"/>
              </w:rPr>
              <w:t>closing_link</w:t>
            </w:r>
          </w:p>
        </w:tc>
        <w:tc>
          <w:tcPr>
            <w:tcW w:type="dxa" w:w="3952"/>
            <w:vAlign w:val="center"/>
          </w:tcPr>
          <w:p>
            <w:pPr>
              <w:spacing w:line="283" w:lineRule="auto" w:after="0"/>
              <w:jc w:val="right"/>
              <w:bidi/>
            </w:pPr>
            <w:r>
              <w:rPr>
                <w:sz w:val="18"/>
              </w:rPr>
              <w:t>العلاقة بالخاتمة</w:t>
            </w:r>
          </w:p>
        </w:tc>
      </w:tr>
      <w:tr>
        <w:tc>
          <w:tcPr>
            <w:tcW w:type="dxa" w:w="3952"/>
            <w:vAlign w:val="center"/>
          </w:tcPr>
          <w:p>
            <w:pPr>
              <w:spacing w:line="283" w:lineRule="auto" w:after="0"/>
              <w:jc w:val="right"/>
              <w:bidi/>
            </w:pPr>
            <w:r>
              <w:rPr>
                <w:sz w:val="18"/>
              </w:rPr>
              <w:t>axis_hypothesis</w:t>
            </w:r>
          </w:p>
        </w:tc>
        <w:tc>
          <w:tcPr>
            <w:tcW w:type="dxa" w:w="3952"/>
            <w:vAlign w:val="center"/>
          </w:tcPr>
          <w:p>
            <w:pPr>
              <w:spacing w:line="283" w:lineRule="auto" w:after="0"/>
              <w:jc w:val="right"/>
              <w:bidi/>
            </w:pPr>
            <w:r>
              <w:rPr>
                <w:sz w:val="18"/>
              </w:rPr>
              <w:t>فرضية المحور</w:t>
            </w:r>
          </w:p>
        </w:tc>
      </w:tr>
      <w:tr>
        <w:tc>
          <w:tcPr>
            <w:tcW w:type="dxa" w:w="3952"/>
            <w:vAlign w:val="center"/>
          </w:tcPr>
          <w:p>
            <w:pPr>
              <w:spacing w:line="283" w:lineRule="auto" w:after="0"/>
              <w:jc w:val="right"/>
              <w:bidi/>
            </w:pPr>
            <w:r>
              <w:rPr>
                <w:sz w:val="18"/>
              </w:rPr>
              <w:t>structure_type</w:t>
            </w:r>
          </w:p>
        </w:tc>
        <w:tc>
          <w:tcPr>
            <w:tcW w:type="dxa" w:w="3952"/>
            <w:vAlign w:val="center"/>
          </w:tcPr>
          <w:p>
            <w:pPr>
              <w:spacing w:line="283" w:lineRule="auto" w:after="0"/>
              <w:jc w:val="right"/>
              <w:bidi/>
            </w:pPr>
            <w:r>
              <w:rPr>
                <w:sz w:val="18"/>
              </w:rPr>
              <w:t>نوع الوحدة</w:t>
            </w:r>
          </w:p>
        </w:tc>
      </w:tr>
      <w:t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القرائن النافية</w:t>
            </w:r>
          </w:p>
        </w:tc>
      </w:tr>
      <w:tr>
        <w:tc>
          <w:tcPr>
            <w:tcW w:type="dxa" w:w="3952"/>
            <w:vAlign w:val="center"/>
          </w:tcPr>
          <w:p>
            <w:pPr>
              <w:spacing w:line="283" w:lineRule="auto" w:after="0"/>
              <w:jc w:val="right"/>
              <w:bidi/>
            </w:pPr>
            <w:r>
              <w:rPr>
                <w:sz w:val="18"/>
              </w:rPr>
              <w:t>alternative_model</w:t>
            </w:r>
          </w:p>
        </w:tc>
        <w:tc>
          <w:tcPr>
            <w:tcW w:type="dxa" w:w="3952"/>
            <w:vAlign w:val="center"/>
          </w:tcPr>
          <w:p>
            <w:pPr>
              <w:spacing w:line="283" w:lineRule="auto" w:after="0"/>
              <w:jc w:val="right"/>
              <w:bidi/>
            </w:pPr>
            <w:r>
              <w:rPr>
                <w:sz w:val="18"/>
              </w:rPr>
              <w:t>الفرضية المنافسة</w:t>
            </w:r>
          </w:p>
        </w:tc>
      </w:tr>
      <w:t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درجة الثقة</w:t>
            </w:r>
          </w:p>
        </w:tc>
      </w:tr>
      <w:tr>
        <w:tc>
          <w:tcPr>
            <w:tcW w:type="dxa" w:w="3952"/>
            <w:vAlign w:val="center"/>
          </w:tcPr>
          <w:p>
            <w:pPr>
              <w:spacing w:line="283" w:lineRule="auto" w:after="0"/>
              <w:jc w:val="right"/>
              <w:bidi/>
            </w:pPr>
            <w:r>
              <w:rPr>
                <w:sz w:val="18"/>
              </w:rPr>
              <w:t>reviewer_version</w:t>
            </w:r>
          </w:p>
        </w:tc>
        <w:tc>
          <w:tcPr>
            <w:tcW w:type="dxa" w:w="3952"/>
            <w:vAlign w:val="center"/>
          </w:tcPr>
          <w:p>
            <w:pPr>
              <w:spacing w:line="283" w:lineRule="auto" w:after="0"/>
              <w:jc w:val="right"/>
              <w:bidi/>
            </w:pPr>
            <w:r>
              <w:rPr>
                <w:sz w:val="18"/>
              </w:rPr>
              <w:t>المراجع والإصدار</w:t>
            </w:r>
          </w:p>
        </w:tc>
      </w:tr>
    </w:tbl>
    <w:p/>
    <w:p>
      <w:pPr>
        <w:spacing w:line="283" w:lineRule="auto" w:after="80"/>
        <w:ind w:firstLine="397"/>
        <w:jc w:val="both"/>
        <w:bidi/>
      </w:pPr>
      <w:r>
        <w:t>surah_id: معرف السورة.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segment_id: معرف المقطع.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start_ayah: بداية المقطع.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end_ayah: نهاية المقطع.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boundary_evidence: قرائن الحد.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segment_function: وظيفة المقطع.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speaker: المتكلم.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audience: المخاطب.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time_scene: الزمن أو المشهد.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links_prev: العلاقات بما سبق.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links_next: العلاقات بما لحق.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refrain: اللازمة أو التكرار.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opening_link: العلاقة بالمطلع.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closing_link: العلاقة بالخاتمة.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axis_hypothesis: فرضية المحور.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structure_type: نوع الوحدة.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counter_evidence: القرائن النافية.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alternative_model: الفرضية المنافسة.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confidence: درجة الثقة. ويجب أن يبقى هذا الحقل قابلاً للتعديل، وأن يرتبط بدليل نصي أو قرار تفسيري معلل، وألا يتحول إلى حقيقة نهائية بسبب إدخاله في قاعدة البيانات.</w:t>
      </w:r>
    </w:p>
    <w:p>
      <w:pPr>
        <w:spacing w:line="283" w:lineRule="auto" w:after="80"/>
        <w:ind w:firstLine="397"/>
        <w:jc w:val="both"/>
        <w:bidi/>
      </w:pPr>
      <w:r>
        <w:t>reviewer_version: المراجع والإصدار. ويجب أن يبقى هذا الحقل قابلاً للتعديل، وأن يرتبط بدليل نصي أو قرار تفسيري معلل، وألا يتحول إلى حقيقة نهائية بسبب إدخاله في قاعدة البيانات.</w:t>
      </w:r>
    </w:p>
    <w:p>
      <w:r>
        <w:br w:type="page"/>
      </w:r>
    </w:p>
    <w:p>
      <w:pPr>
        <w:pStyle w:val="Heading1"/>
        <w:spacing w:line="283" w:lineRule="auto" w:after="120"/>
        <w:jc w:val="right"/>
        <w:keepNext/>
        <w:bidi/>
      </w:pPr>
      <w:r>
        <w:t>القسم التركيبي التاسع: معيار اكتمال دراسة السورة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المعيار</w:t>
            </w:r>
          </w:p>
        </w:tc>
        <w:tc>
          <w:tcPr>
            <w:tcW w:type="dxa" w:w="3952"/>
            <w:vAlign w:val="center"/>
          </w:tcPr>
          <w:p>
            <w:pPr>
              <w:spacing w:line="283" w:lineRule="auto" w:after="0"/>
              <w:jc w:val="center"/>
              <w:bidi/>
            </w:pPr>
            <w:r>
              <w:rPr>
                <w:b/>
                <w:sz w:val="18"/>
              </w:rPr>
              <w:t>شرطه</w:t>
            </w:r>
          </w:p>
        </w:tc>
      </w:tr>
      <w:tr>
        <w:tc>
          <w:tcPr>
            <w:tcW w:type="dxa" w:w="3952"/>
            <w:vAlign w:val="center"/>
          </w:tcPr>
          <w:p>
            <w:pPr>
              <w:spacing w:line="283" w:lineRule="auto" w:after="0"/>
              <w:jc w:val="right"/>
              <w:bidi/>
            </w:pPr>
            <w:r>
              <w:rPr>
                <w:sz w:val="18"/>
              </w:rPr>
              <w:t>اكتمال النص</w:t>
            </w:r>
          </w:p>
        </w:tc>
        <w:tc>
          <w:tcPr>
            <w:tcW w:type="dxa" w:w="3952"/>
            <w:vAlign w:val="center"/>
          </w:tcPr>
          <w:p>
            <w:pPr>
              <w:spacing w:line="283" w:lineRule="auto" w:after="0"/>
              <w:jc w:val="right"/>
              <w:bidi/>
            </w:pPr>
            <w:r>
              <w:rPr>
                <w:sz w:val="18"/>
              </w:rPr>
              <w:t>تثبيت السورة والقراءات المؤثرة.</w:t>
            </w:r>
          </w:p>
        </w:tc>
      </w:tr>
      <w:tr>
        <w:tc>
          <w:tcPr>
            <w:tcW w:type="dxa" w:w="3952"/>
            <w:vAlign w:val="center"/>
          </w:tcPr>
          <w:p>
            <w:pPr>
              <w:spacing w:line="283" w:lineRule="auto" w:after="0"/>
              <w:jc w:val="right"/>
              <w:bidi/>
            </w:pPr>
            <w:r>
              <w:rPr>
                <w:sz w:val="18"/>
              </w:rPr>
              <w:t>اكتمال المقاطع</w:t>
            </w:r>
          </w:p>
        </w:tc>
        <w:tc>
          <w:tcPr>
            <w:tcW w:type="dxa" w:w="3952"/>
            <w:vAlign w:val="center"/>
          </w:tcPr>
          <w:p>
            <w:pPr>
              <w:spacing w:line="283" w:lineRule="auto" w:after="0"/>
              <w:jc w:val="right"/>
              <w:bidi/>
            </w:pPr>
            <w:r>
              <w:rPr>
                <w:sz w:val="18"/>
              </w:rPr>
              <w:t>تغطية جميع الآيات بحدود معللة.</w:t>
            </w:r>
          </w:p>
        </w:tc>
      </w:tr>
      <w:tr>
        <w:tc>
          <w:tcPr>
            <w:tcW w:type="dxa" w:w="3952"/>
            <w:vAlign w:val="center"/>
          </w:tcPr>
          <w:p>
            <w:pPr>
              <w:spacing w:line="283" w:lineRule="auto" w:after="0"/>
              <w:jc w:val="right"/>
              <w:bidi/>
            </w:pPr>
            <w:r>
              <w:rPr>
                <w:sz w:val="18"/>
              </w:rPr>
              <w:t>اكتمال الوظائف</w:t>
            </w:r>
          </w:p>
        </w:tc>
        <w:tc>
          <w:tcPr>
            <w:tcW w:type="dxa" w:w="3952"/>
            <w:vAlign w:val="center"/>
          </w:tcPr>
          <w:p>
            <w:pPr>
              <w:spacing w:line="283" w:lineRule="auto" w:after="0"/>
              <w:jc w:val="right"/>
              <w:bidi/>
            </w:pPr>
            <w:r>
              <w:rPr>
                <w:sz w:val="18"/>
              </w:rPr>
              <w:t>بيان وظيفة كل مقطع لا عنوانه فقط.</w:t>
            </w:r>
          </w:p>
        </w:tc>
      </w:tr>
      <w:tr>
        <w:tc>
          <w:tcPr>
            <w:tcW w:type="dxa" w:w="3952"/>
            <w:vAlign w:val="center"/>
          </w:tcPr>
          <w:p>
            <w:pPr>
              <w:spacing w:line="283" w:lineRule="auto" w:after="0"/>
              <w:jc w:val="right"/>
              <w:bidi/>
            </w:pPr>
            <w:r>
              <w:rPr>
                <w:sz w:val="18"/>
              </w:rPr>
              <w:t>اكتمال الروابط</w:t>
            </w:r>
          </w:p>
        </w:tc>
        <w:tc>
          <w:tcPr>
            <w:tcW w:type="dxa" w:w="3952"/>
            <w:vAlign w:val="center"/>
          </w:tcPr>
          <w:p>
            <w:pPr>
              <w:spacing w:line="283" w:lineRule="auto" w:after="0"/>
              <w:jc w:val="right"/>
              <w:bidi/>
            </w:pPr>
            <w:r>
              <w:rPr>
                <w:sz w:val="18"/>
              </w:rPr>
              <w:t>تفسير الانتقالات والعلاقات الأساسية.</w:t>
            </w:r>
          </w:p>
        </w:tc>
      </w:tr>
      <w:tr>
        <w:tc>
          <w:tcPr>
            <w:tcW w:type="dxa" w:w="3952"/>
            <w:vAlign w:val="center"/>
          </w:tcPr>
          <w:p>
            <w:pPr>
              <w:spacing w:line="283" w:lineRule="auto" w:after="0"/>
              <w:jc w:val="right"/>
              <w:bidi/>
            </w:pPr>
            <w:r>
              <w:rPr>
                <w:sz w:val="18"/>
              </w:rPr>
              <w:t>اكتمال المطلع والخاتمة</w:t>
            </w:r>
          </w:p>
        </w:tc>
        <w:tc>
          <w:tcPr>
            <w:tcW w:type="dxa" w:w="3952"/>
            <w:vAlign w:val="center"/>
          </w:tcPr>
          <w:p>
            <w:pPr>
              <w:spacing w:line="283" w:lineRule="auto" w:after="0"/>
              <w:jc w:val="right"/>
              <w:bidi/>
            </w:pPr>
            <w:r>
              <w:rPr>
                <w:sz w:val="18"/>
              </w:rPr>
              <w:t>اختبار علاقتهما بالبنية من غير افتراض.</w:t>
            </w:r>
          </w:p>
        </w:tc>
      </w:tr>
      <w:tr>
        <w:tc>
          <w:tcPr>
            <w:tcW w:type="dxa" w:w="3952"/>
            <w:vAlign w:val="center"/>
          </w:tcPr>
          <w:p>
            <w:pPr>
              <w:spacing w:line="283" w:lineRule="auto" w:after="0"/>
              <w:jc w:val="right"/>
              <w:bidi/>
            </w:pPr>
            <w:r>
              <w:rPr>
                <w:sz w:val="18"/>
              </w:rPr>
              <w:t>اكتمال المحور</w:t>
            </w:r>
          </w:p>
        </w:tc>
        <w:tc>
          <w:tcPr>
            <w:tcW w:type="dxa" w:w="3952"/>
            <w:vAlign w:val="center"/>
          </w:tcPr>
          <w:p>
            <w:pPr>
              <w:spacing w:line="283" w:lineRule="auto" w:after="0"/>
              <w:jc w:val="right"/>
              <w:bidi/>
            </w:pPr>
            <w:r>
              <w:rPr>
                <w:sz w:val="18"/>
              </w:rPr>
              <w:t>صياغة فرضية قابلة للفحص أو بيان تعدد المحاور.</w:t>
            </w:r>
          </w:p>
        </w:tc>
      </w:tr>
      <w:tr>
        <w:tc>
          <w:tcPr>
            <w:tcW w:type="dxa" w:w="3952"/>
            <w:vAlign w:val="center"/>
          </w:tcPr>
          <w:p>
            <w:pPr>
              <w:spacing w:line="283" w:lineRule="auto" w:after="0"/>
              <w:jc w:val="right"/>
              <w:bidi/>
            </w:pPr>
            <w:r>
              <w:rPr>
                <w:sz w:val="18"/>
              </w:rPr>
              <w:t>اكتمال الحالات الحدية</w:t>
            </w:r>
          </w:p>
        </w:tc>
        <w:tc>
          <w:tcPr>
            <w:tcW w:type="dxa" w:w="3952"/>
            <w:vAlign w:val="center"/>
          </w:tcPr>
          <w:p>
            <w:pPr>
              <w:spacing w:line="283" w:lineRule="auto" w:after="0"/>
              <w:jc w:val="right"/>
              <w:bidi/>
            </w:pPr>
            <w:r>
              <w:rPr>
                <w:sz w:val="18"/>
              </w:rPr>
              <w:t>إدخال المقاطع الصعبة في الاختبار.</w:t>
            </w:r>
          </w:p>
        </w:tc>
      </w:tr>
      <w:tr>
        <w:tc>
          <w:tcPr>
            <w:tcW w:type="dxa" w:w="3952"/>
            <w:vAlign w:val="center"/>
          </w:tcPr>
          <w:p>
            <w:pPr>
              <w:spacing w:line="283" w:lineRule="auto" w:after="0"/>
              <w:jc w:val="right"/>
              <w:bidi/>
            </w:pPr>
            <w:r>
              <w:rPr>
                <w:sz w:val="18"/>
              </w:rPr>
              <w:t>اكتمال البديل</w:t>
            </w:r>
          </w:p>
        </w:tc>
        <w:tc>
          <w:tcPr>
            <w:tcW w:type="dxa" w:w="3952"/>
            <w:vAlign w:val="center"/>
          </w:tcPr>
          <w:p>
            <w:pPr>
              <w:spacing w:line="283" w:lineRule="auto" w:after="0"/>
              <w:jc w:val="right"/>
              <w:bidi/>
            </w:pPr>
            <w:r>
              <w:rPr>
                <w:sz w:val="18"/>
              </w:rPr>
              <w:t>وجود نموذج منافس حقيقي.</w:t>
            </w:r>
          </w:p>
        </w:tc>
      </w:tr>
      <w:tr>
        <w:tc>
          <w:tcPr>
            <w:tcW w:type="dxa" w:w="3952"/>
            <w:vAlign w:val="center"/>
          </w:tcPr>
          <w:p>
            <w:pPr>
              <w:spacing w:line="283" w:lineRule="auto" w:after="0"/>
              <w:jc w:val="right"/>
              <w:bidi/>
            </w:pPr>
            <w:r>
              <w:rPr>
                <w:sz w:val="18"/>
              </w:rPr>
              <w:t>اكتمال التصريف</w:t>
            </w:r>
          </w:p>
        </w:tc>
        <w:tc>
          <w:tcPr>
            <w:tcW w:type="dxa" w:w="3952"/>
            <w:vAlign w:val="center"/>
          </w:tcPr>
          <w:p>
            <w:pPr>
              <w:spacing w:line="283" w:lineRule="auto" w:after="0"/>
              <w:jc w:val="right"/>
              <w:bidi/>
            </w:pPr>
            <w:r>
              <w:rPr>
                <w:sz w:val="18"/>
              </w:rPr>
              <w:t>مقارنة المواضع الخارجية عند الحاجة.</w:t>
            </w:r>
          </w:p>
        </w:tc>
      </w:tr>
      <w:tr>
        <w:tc>
          <w:tcPr>
            <w:tcW w:type="dxa" w:w="3952"/>
            <w:vAlign w:val="center"/>
          </w:tcPr>
          <w:p>
            <w:pPr>
              <w:spacing w:line="283" w:lineRule="auto" w:after="0"/>
              <w:jc w:val="right"/>
              <w:bidi/>
            </w:pPr>
            <w:r>
              <w:rPr>
                <w:sz w:val="18"/>
              </w:rPr>
              <w:t>اكتمال الحدود</w:t>
            </w:r>
          </w:p>
        </w:tc>
        <w:tc>
          <w:tcPr>
            <w:tcW w:type="dxa" w:w="3952"/>
            <w:vAlign w:val="center"/>
          </w:tcPr>
          <w:p>
            <w:pPr>
              <w:spacing w:line="283" w:lineRule="auto" w:after="0"/>
              <w:jc w:val="right"/>
              <w:bidi/>
            </w:pPr>
            <w:r>
              <w:rPr>
                <w:sz w:val="18"/>
              </w:rPr>
              <w:t>بيان ما لا يثبته نموذج الوحدة.</w:t>
            </w:r>
          </w:p>
        </w:tc>
      </w:tr>
      <w:tr>
        <w:tc>
          <w:tcPr>
            <w:tcW w:type="dxa" w:w="3952"/>
            <w:vAlign w:val="center"/>
          </w:tcPr>
          <w:p>
            <w:pPr>
              <w:spacing w:line="283" w:lineRule="auto" w:after="0"/>
              <w:jc w:val="right"/>
              <w:bidi/>
            </w:pPr>
            <w:r>
              <w:rPr>
                <w:sz w:val="18"/>
              </w:rPr>
              <w:t>اكتمال المراجعة</w:t>
            </w:r>
          </w:p>
        </w:tc>
        <w:tc>
          <w:tcPr>
            <w:tcW w:type="dxa" w:w="3952"/>
            <w:vAlign w:val="center"/>
          </w:tcPr>
          <w:p>
            <w:pPr>
              <w:spacing w:line="283" w:lineRule="auto" w:after="0"/>
              <w:jc w:val="right"/>
              <w:bidi/>
            </w:pPr>
            <w:r>
              <w:rPr>
                <w:sz w:val="18"/>
              </w:rPr>
              <w:t>إعادة قراءة السورة من غير الخريطة.</w:t>
            </w:r>
          </w:p>
        </w:tc>
      </w:tr>
      <w:tr>
        <w:tc>
          <w:tcPr>
            <w:tcW w:type="dxa" w:w="3952"/>
            <w:vAlign w:val="center"/>
          </w:tcPr>
          <w:p>
            <w:pPr>
              <w:spacing w:line="283" w:lineRule="auto" w:after="0"/>
              <w:jc w:val="right"/>
              <w:bidi/>
            </w:pPr>
            <w:r>
              <w:rPr>
                <w:sz w:val="18"/>
              </w:rPr>
              <w:t>اكتمال الإصدار</w:t>
            </w:r>
          </w:p>
        </w:tc>
        <w:tc>
          <w:tcPr>
            <w:tcW w:type="dxa" w:w="3952"/>
            <w:vAlign w:val="center"/>
          </w:tcPr>
          <w:p>
            <w:pPr>
              <w:spacing w:line="283" w:lineRule="auto" w:after="0"/>
              <w:jc w:val="right"/>
              <w:bidi/>
            </w:pPr>
            <w:r>
              <w:rPr>
                <w:sz w:val="18"/>
              </w:rPr>
              <w:t>حفظ الدرجة والمراجع وتاريخ التعديل.</w:t>
            </w:r>
          </w:p>
        </w:tc>
      </w:tr>
    </w:tbl>
    <w:p/>
    <w:p>
      <w:pPr>
        <w:spacing w:line="283" w:lineRule="auto" w:after="80"/>
        <w:ind w:firstLine="397"/>
        <w:jc w:val="both"/>
        <w:bidi/>
      </w:pPr>
      <w:r>
        <w:t>اكتمال النص: تثبيت السورة والقراءات المؤثرة.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المقاطع: تغطية جميع الآيات بحدود معللة.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الوظائف: بيان وظيفة كل مقطع لا عنوانه فقط.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الروابط: تفسير الانتقالات والعلاقات الأساسية.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المطلع والخاتمة: اختبار علاقتهما بالبنية من غير افتراض.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المحور: صياغة فرضية قابلة للفحص أو بيان تعدد المحاور.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الحالات الحدية: إدخال المقاطع الصعبة في الاختبار.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البديل: وجود نموذج منافس حقيقي.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التصريف: مقارنة المواضع الخارجية عند الحاجة.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الحدود: بيان ما لا يثبته نموذج الوحدة.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المراجعة: إعادة قراءة السورة من غير الخريطة. ولا تُعد الدراسة مكتملةً لمجرد تسمية محور للسورة؛ إذ قد تكون هذه أكثر مراحل البحث عرضةً للاختزال إذا لم تُسبق باستيعاب المقاطع والروابط والبدائل.</w:t>
      </w:r>
    </w:p>
    <w:p>
      <w:pPr>
        <w:spacing w:line="283" w:lineRule="auto" w:after="80"/>
        <w:ind w:firstLine="397"/>
        <w:jc w:val="both"/>
        <w:bidi/>
      </w:pPr>
      <w:r>
        <w:t>اكتمال الإصدار: حفظ الدرجة والمراجع وتاريخ التعديل. ولا تُعد الدراسة مكتملةً لمجرد تسمية محور للسورة؛ إذ قد تكون هذه أكثر مراحل البحث عرضةً للاختزال إذا لم تُسبق باستيعاب المقاطع والروابط والبدائل.</w:t>
      </w:r>
    </w:p>
    <w:p>
      <w:r>
        <w:br w:type="page"/>
      </w:r>
    </w:p>
    <w:p>
      <w:pPr>
        <w:pStyle w:val="Heading1"/>
        <w:spacing w:line="283" w:lineRule="auto" w:after="120"/>
        <w:jc w:val="right"/>
        <w:keepNext/>
        <w:bidi/>
      </w:pPr>
      <w:r>
        <w:t>النظرية الجامعة</w:t>
      </w:r>
    </w:p>
    <w:p>
      <w:pPr>
        <w:spacing w:line="283" w:lineRule="auto" w:after="80"/>
        <w:ind w:firstLine="397"/>
        <w:jc w:val="both"/>
        <w:bidi/>
      </w:pPr>
      <w:r>
        <w:t>تخلص النظرية إلى أن السورة هي الوحدة النصية المنزلة الأولى التي تملك بدايةً ونهايةً ثابتتين، وأن تحليل بنيتها ينبغي أن يسبق جمع آياتها في موضوع خارجي إذا كان السؤال متعلقاً بوظيفة الآية في موضعها. وهذه الأولوية لا تعزل السورة عن القرآن، بل تمنع أن تذوب خصوصيتها في الشبكات العابرة للسور.</w:t>
      </w:r>
    </w:p>
    <w:p>
      <w:pPr>
        <w:spacing w:line="283" w:lineRule="auto" w:after="80"/>
        <w:ind w:firstLine="397"/>
        <w:jc w:val="both"/>
        <w:bidi/>
      </w:pPr>
      <w:r>
        <w:t>لا تشترط الوحدة السُّورية موضوعاً واحداً؛ فقد تتحد السورة بالمحور أو الحجاج أو القصص أو المقابلة أو المآل أو مجموعة علاقات مركبة. وتكون الوحدة أقوى كلما فسرت الانتقالات والمقاطع الصعبة من غير اختزال أو إعادة تسمية.</w:t>
      </w:r>
    </w:p>
    <w:p>
      <w:pPr>
        <w:spacing w:line="283" w:lineRule="auto" w:after="80"/>
        <w:ind w:firstLine="397"/>
        <w:jc w:val="both"/>
        <w:bidi/>
      </w:pPr>
      <w:r>
        <w:t>المقطع أهم وحدة وسيطة بين الآية والسورة. ولذلك لا يكفي تفسير الآيات مفردةً ثم جمع خلاصاتها؛ بل يجب معرفة كيف تصنع الجمل والآيات حركةً خطابيةً محلية، وكيف تدخل هذه الحركة في بناء السورة.</w:t>
      </w:r>
    </w:p>
    <w:p>
      <w:pPr>
        <w:spacing w:line="283" w:lineRule="auto" w:after="80"/>
        <w:ind w:firstLine="397"/>
        <w:jc w:val="both"/>
        <w:bidi/>
      </w:pPr>
      <w:r>
        <w:t>تظل حدود المقاطع والمحاور اجتهادية، وتكون أمانة الباحث في إعلان درجتها وبناء فرضية منافسة. ولا يقدح تعدد النماذج في القرآن؛ بل قد يكشف تعدد مستويات البنية إذا كانت القراءات منضبطةً بالنص.</w:t>
      </w:r>
    </w:p>
    <w:p>
      <w:pPr>
        <w:spacing w:line="283" w:lineRule="auto" w:after="80"/>
        <w:ind w:firstLine="397"/>
        <w:jc w:val="both"/>
        <w:bidi/>
      </w:pPr>
      <w:r>
        <w:t>تعمل الوحدة السُّورية تحت حاكمية المحكمات واللسان والسياق والتصريف. فإذا أدى النموذج إلى معنى يعارض محكماً أو يحتاج إلى حذف قيد لغوي، سقط النموذج أو قُيد، لأن السورة لا تحكم القرآن كله بمعزل عن بقية البيان.</w:t>
      </w:r>
    </w:p>
    <w:p>
      <w:pPr>
        <w:spacing w:line="283" w:lineRule="auto" w:after="80"/>
        <w:ind w:firstLine="397"/>
        <w:jc w:val="both"/>
        <w:bidi/>
      </w:pPr>
      <w:r>
        <w:t>تُعد الحوسبة نافعةً في كشف التكرارات والإحالات والتشابهات واقتراح حدود أولية، لكنها لا تقرر المحور أو المقصد أو قصد الله. وكل ناتج آلي يحتاج إلى تفسير ومراجعة بشرية وإمكان رفض.</w:t>
      </w:r>
    </w:p>
    <w:p>
      <w:pPr>
        <w:spacing w:line="283" w:lineRule="auto" w:after="80"/>
        <w:ind w:firstLine="397"/>
        <w:jc w:val="both"/>
        <w:bidi/>
      </w:pPr>
      <w:r>
        <w:t>بهذا تصبح الوحدة السُّورية جزءاً من منطق البيان: تمنع اقتطاع الآية، وتحفظ اختلاف المقاطع، وتقيم الوزن بين المحلي والكلي، وتتيح الانتقال المنضبط من النص إلى المفهوم والشبكة والموضوع والمقصد.</w:t>
      </w:r>
    </w:p>
    <w:p>
      <w:pPr>
        <w:pStyle w:val="Heading2"/>
        <w:spacing w:line="283" w:lineRule="auto" w:after="120"/>
        <w:jc w:val="right"/>
        <w:keepNext/>
        <w:bidi/>
      </w:pPr>
      <w:r>
        <w:t>ميثاق الباحث في الوحدة السُّورية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العهد</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أقرأ السورة كاملةً قبل تقسيمها.</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أفترض موضوعاً واحداً للسورة قبل التحليل.</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أميز حد السورة الثابت من حد المقطع الاجتهادي.</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أذكر قرائن كل حد مقترح.</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أحفظ القرائن النافية والمقاطع الصعبة.</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أميز المحور من الموضوع والمقصد والبؤرة.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لا أجعل المطلع أو الخاتمة مفتاحاً حصرياً.</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لا أستعمل التكرار أو الإيقاع دليلاً منفرداً.</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أقرأ القصة والحكم في موضعهما قبل جمع النظائر.</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أبني نموذجاً منافساً قبل الترجيح.</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لا أختار التقسيم لجماله أو شهرته.</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أعلن درجة الثقة وحدود الوحدة.</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أسمح بتعدد النماذج عند تقارب الأدلة.</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لا أحول الوحدة السُّورية إلى حكم عقدي أو فقهي مباشرة.</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أعرض نموذجي على المحكمات والتصريف القرآني.</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أعيد قراءة السورة من غير الخريطة قبل الاعتماد.</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أقبل تصحيح الحدود والمحاور عند ظهور قرينة أقوى.</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لا أجعل الحوسبة شاهداً على القصد.</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أطبق القواعد نفسها على السور التي توافق فرضيتي والتي تخالفها.</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أرد العلم إلى الله وأقول في الاجتهاد بقدر الدليل.</w:t>
            </w:r>
          </w:p>
        </w:tc>
      </w:tr>
    </w:tbl>
    <w:p/>
    <w:p>
      <w:pPr>
        <w:spacing w:line="283" w:lineRule="auto" w:after="80"/>
        <w:ind w:firstLine="397"/>
        <w:jc w:val="both"/>
        <w:bidi/>
      </w:pPr>
      <w:r>
        <w:t>العهد 1: أقرأ السورة كاملةً قبل تقسيمها.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2: لا أفترض موضوعاً واحداً للسورة قبل التحليل.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3: أميز حد السورة الثابت من حد المقطع الاجتهادي.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4: أذكر قرائن كل حد مقترح.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5: أحفظ القرائن النافية والمقاطع الصعبة.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6: أميز المحور من الموضوع والمقصد والبؤرة.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7: لا أجعل المطلع أو الخاتمة مفتاحاً حصرياً.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8: لا أستعمل التكرار أو الإيقاع دليلاً منفرداً.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9: أقرأ القصة والحكم في موضعهما قبل جمع النظائر.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10: أبني نموذجاً منافساً قبل الترجيح.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11: لا أختار التقسيم لجماله أو شهرته.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12: أعلن درجة الثقة وحدود الوحدة.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13: أسمح بتعدد النماذج عند تقارب الأدلة.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14: لا أحول الوحدة السُّورية إلى حكم عقدي أو فقهي مباشرة.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15: أعرض نموذجي على المحكمات والتصريف القرآني.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16: أعيد قراءة السورة من غير الخريطة قبل الاعتماد.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17: أقبل تصحيح الحدود والمحاور عند ظهور قرينة أقوى.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18: لا أجعل الحوسبة شاهداً على القصد.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19: أطبق القواعد نفسها على السور التي توافق فرضيتي والتي تخالفها. ويظهر الوفاء به في طريقة تقسيم السورة ولغة الترجيح وحفظ الاعتراض، لا في مقدمة منهجية منفصلة.</w:t>
      </w:r>
    </w:p>
    <w:p>
      <w:pPr>
        <w:spacing w:line="283" w:lineRule="auto" w:after="80"/>
        <w:ind w:firstLine="397"/>
        <w:jc w:val="both"/>
        <w:bidi/>
      </w:pPr>
      <w:r>
        <w:t>العهد 20: أرد العلم إلى الله وأقول في الاجتهاد بقدر الدليل. ويظهر الوفاء به في طريقة تقسيم السورة ولغة الترجيح وحفظ الاعتراض، لا في مقدمة منهجية منفصلة.</w:t>
      </w:r>
    </w:p>
    <w:p>
      <w:pPr>
        <w:pStyle w:val="Heading2"/>
        <w:spacing w:line="283" w:lineRule="auto" w:after="120"/>
        <w:jc w:val="right"/>
        <w:keepNext/>
        <w:bidi/>
      </w:pPr>
      <w:r>
        <w:t>التعريف النهائي</w:t>
      </w:r>
    </w:p>
    <w:p>
      <w:pPr>
        <w:spacing w:line="283" w:lineRule="auto" w:after="80"/>
        <w:ind w:firstLine="397"/>
        <w:jc w:val="both"/>
        <w:bidi/>
      </w:pPr>
      <w:r>
        <w:t>الوحدة السُّورية في التفسير البياني هي البنية الداخلية التي تنتظم بها آيات السورة ومقاطعها ومطلعها وخاتمتها وانتقالاتها وقصصها وحججها وأحكامها وتكراراتها ومآلاتها في نظام قابل للتفسير بقرائن النص والسياق والروابط والتصريف، من غير افتراض موضوع واحد أو نموذج شكلي سابق، ويُستدل على حدود المقاطع ووظائفها ومحورها أو محاورها بدرجات، وتُختبر الفرضيات المنافسة والآيات الحدية، وتظل النتيجة قابلةً للمراجعة تحت حاكمية القرآن ومنطق البيان والميزان والقسط.</w:t>
      </w:r>
    </w:p>
    <w:p>
      <w:r>
        <w:br w:type="page"/>
      </w:r>
    </w:p>
    <w:p>
      <w:pPr>
        <w:pStyle w:val="Heading1"/>
        <w:spacing w:line="283" w:lineRule="auto" w:after="120"/>
        <w:jc w:val="right"/>
        <w:keepNext/>
        <w:bidi/>
      </w:pPr>
      <w:r>
        <w:t>الملحق النقدي الأول: أسماء السور وعلاقتها بالوحدة</w:t>
      </w:r>
    </w:p>
    <w:p>
      <w:pPr>
        <w:spacing w:line="283" w:lineRule="auto" w:after="80"/>
        <w:ind w:firstLine="397"/>
        <w:jc w:val="both"/>
        <w:bidi/>
      </w:pPr>
      <w:r>
        <w:t>يحتاج علم الوحدة السُّورية إلى تحرير وظيفة اسم السورة؛ لأن بعض الدراسات تنطلق من الاسم لتحديد المحور، ثم تعيد تأويل جميع المقاطع في ضوئه. غير أن الاسم قد يكون توقيفياً مشهوراً، أو وصفاً تداولياً، وقد يشير إلى قصة أو لفظة بارزة من غير أن يساوي موضوع السورة أو مقصدها الكلي.</w:t>
      </w:r>
    </w:p>
    <w:p>
      <w:pPr>
        <w:spacing w:line="283" w:lineRule="auto" w:after="80"/>
        <w:ind w:firstLine="397"/>
        <w:jc w:val="both"/>
        <w:bidi/>
      </w:pPr>
      <w:r>
        <w:t>تُعامل أسماء السور بوصفها قرائن متفاوتة القوة لا مفاتيح حاكمة بذاتها. فإذا كان الاسم يشير إلى عنصر صغير داخل السورة، وجب تفسير سبب بروزه من غير افتراض أنه مركز جميع المقاطع. وإذا تعددت أسماء السورة في التراث، صار التعدد نفسه مانعاً من بناء وحدة حصرية على اسم واحد.</w:t>
      </w:r>
    </w:p>
    <w:p>
      <w:pPr>
        <w:spacing w:line="283" w:lineRule="auto" w:after="80"/>
        <w:ind w:firstLine="397"/>
        <w:jc w:val="both"/>
        <w:bidi/>
      </w:pPr>
      <w:r>
        <w:t>تُختبر العلاقة بين الاسم والبنية عبر ثلاثة أسئلة: هل يتكرر مدلول الاسم أو يعود في مقاطع متعددة؟ وهل يؤدي وظيفةً حجاجيةً أو مآليةً مركزية؟ وهل يستطيع نموذج آخر تفسير اختيار الاسم من غير جعله محوراً؟ ويُمنع الانتقال من الاسم إلى المقصد بلا هذه الاختبارات.</w:t>
      </w:r>
    </w:p>
    <w:p>
      <w:pPr>
        <w:spacing w:line="283" w:lineRule="auto" w:after="80"/>
        <w:ind w:firstLine="397"/>
        <w:jc w:val="both"/>
        <w:bidi/>
      </w:pPr>
      <w:r>
        <w:t>في سور مثل البقرة وآل عمران والمائدة والأنعام والعنكبوت قد يشير الاسم إلى قصة أو صورة أو حادثة، بينما تمتد بنية السورة إلى موضوعات أوسع. وتكون قيمة الاسم أحياناً في كونه عقدةً كاشفةً لنمط من الابتلاء أو الميثاق أو الحجاج، لا في كونه عنواناً موضوعياً شاملاً.</w:t>
      </w:r>
    </w:p>
    <w:p>
      <w:pPr>
        <w:spacing w:line="283" w:lineRule="auto" w:after="80"/>
        <w:ind w:firstLine="397"/>
        <w:jc w:val="both"/>
        <w:bidi/>
      </w:pPr>
      <w:r>
        <w:t>يُسجل في المصفوفة: اسم السورة، وأسماؤها الأخرى إن وجدت، ونوع دلالة الاسم، وموضعه في السورة، وعلاقته بالمحور المقترح، والقرائن المعارضة. وبذلك يُمنع أن يعمل الاسم خفيةً بوصفه فرضية سابقة غير معلنة.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حالة الاسم</w:t>
            </w:r>
          </w:p>
        </w:tc>
        <w:tc>
          <w:tcPr>
            <w:tcW w:type="dxa" w:w="3952"/>
            <w:vAlign w:val="center"/>
          </w:tcPr>
          <w:p>
            <w:pPr>
              <w:spacing w:line="283" w:lineRule="auto" w:after="0"/>
              <w:jc w:val="center"/>
              <w:bidi/>
            </w:pPr>
            <w:r>
              <w:rPr>
                <w:b/>
                <w:sz w:val="18"/>
              </w:rPr>
              <w:t>أثره في الوحدة</w:t>
            </w:r>
          </w:p>
        </w:tc>
      </w:tr>
      <w:tr>
        <w:tc>
          <w:tcPr>
            <w:tcW w:type="dxa" w:w="3952"/>
            <w:vAlign w:val="center"/>
          </w:tcPr>
          <w:p>
            <w:pPr>
              <w:spacing w:line="283" w:lineRule="auto" w:after="0"/>
              <w:jc w:val="right"/>
              <w:bidi/>
            </w:pPr>
            <w:r>
              <w:rPr>
                <w:sz w:val="18"/>
              </w:rPr>
              <w:t>اسم يشير إلى لفظة مركزية</w:t>
            </w:r>
          </w:p>
        </w:tc>
        <w:tc>
          <w:tcPr>
            <w:tcW w:type="dxa" w:w="3952"/>
            <w:vAlign w:val="center"/>
          </w:tcPr>
          <w:p>
            <w:pPr>
              <w:spacing w:line="283" w:lineRule="auto" w:after="0"/>
              <w:jc w:val="right"/>
              <w:bidi/>
            </w:pPr>
            <w:r>
              <w:rPr>
                <w:sz w:val="18"/>
              </w:rPr>
              <w:t>قرينة محتملة تحتاج إلى اختبار الشبكة</w:t>
            </w:r>
          </w:p>
        </w:tc>
      </w:tr>
      <w:tr>
        <w:tc>
          <w:tcPr>
            <w:tcW w:type="dxa" w:w="3952"/>
            <w:vAlign w:val="center"/>
          </w:tcPr>
          <w:p>
            <w:pPr>
              <w:spacing w:line="283" w:lineRule="auto" w:after="0"/>
              <w:jc w:val="right"/>
              <w:bidi/>
            </w:pPr>
            <w:r>
              <w:rPr>
                <w:sz w:val="18"/>
              </w:rPr>
              <w:t>اسم يشير إلى قصة محدودة</w:t>
            </w:r>
          </w:p>
        </w:tc>
        <w:tc>
          <w:tcPr>
            <w:tcW w:type="dxa" w:w="3952"/>
            <w:vAlign w:val="center"/>
          </w:tcPr>
          <w:p>
            <w:pPr>
              <w:spacing w:line="283" w:lineRule="auto" w:after="0"/>
              <w:jc w:val="right"/>
              <w:bidi/>
            </w:pPr>
            <w:r>
              <w:rPr>
                <w:sz w:val="18"/>
              </w:rPr>
              <w:t>لا يساوي موضوع السورة</w:t>
            </w:r>
          </w:p>
        </w:tc>
      </w:tr>
      <w:tr>
        <w:tc>
          <w:tcPr>
            <w:tcW w:type="dxa" w:w="3952"/>
            <w:vAlign w:val="center"/>
          </w:tcPr>
          <w:p>
            <w:pPr>
              <w:spacing w:line="283" w:lineRule="auto" w:after="0"/>
              <w:jc w:val="right"/>
              <w:bidi/>
            </w:pPr>
            <w:r>
              <w:rPr>
                <w:sz w:val="18"/>
              </w:rPr>
              <w:t>أسماء متعددة للسورة</w:t>
            </w:r>
          </w:p>
        </w:tc>
        <w:tc>
          <w:tcPr>
            <w:tcW w:type="dxa" w:w="3952"/>
            <w:vAlign w:val="center"/>
          </w:tcPr>
          <w:p>
            <w:pPr>
              <w:spacing w:line="283" w:lineRule="auto" w:after="0"/>
              <w:jc w:val="right"/>
              <w:bidi/>
            </w:pPr>
            <w:r>
              <w:rPr>
                <w:sz w:val="18"/>
              </w:rPr>
              <w:t>تضعف دعوى الحصر باسم واحد</w:t>
            </w:r>
          </w:p>
        </w:tc>
      </w:tr>
      <w:tr>
        <w:tc>
          <w:tcPr>
            <w:tcW w:type="dxa" w:w="3952"/>
            <w:vAlign w:val="center"/>
          </w:tcPr>
          <w:p>
            <w:pPr>
              <w:spacing w:line="283" w:lineRule="auto" w:after="0"/>
              <w:jc w:val="right"/>
              <w:bidi/>
            </w:pPr>
            <w:r>
              <w:rPr>
                <w:sz w:val="18"/>
              </w:rPr>
              <w:t>اسم وصفي تداولي</w:t>
            </w:r>
          </w:p>
        </w:tc>
        <w:tc>
          <w:tcPr>
            <w:tcW w:type="dxa" w:w="3952"/>
            <w:vAlign w:val="center"/>
          </w:tcPr>
          <w:p>
            <w:pPr>
              <w:spacing w:line="283" w:lineRule="auto" w:after="0"/>
              <w:jc w:val="right"/>
              <w:bidi/>
            </w:pPr>
            <w:r>
              <w:rPr>
                <w:sz w:val="18"/>
              </w:rPr>
              <w:t>يُدرس تاريخ استعماله قبل الاستدلال</w:t>
            </w:r>
          </w:p>
        </w:tc>
      </w:tr>
      <w:tr>
        <w:tc>
          <w:tcPr>
            <w:tcW w:type="dxa" w:w="3952"/>
            <w:vAlign w:val="center"/>
          </w:tcPr>
          <w:p>
            <w:pPr>
              <w:spacing w:line="283" w:lineRule="auto" w:after="0"/>
              <w:jc w:val="right"/>
              <w:bidi/>
            </w:pPr>
            <w:r>
              <w:rPr>
                <w:sz w:val="18"/>
              </w:rPr>
              <w:t>اسم مرتبط بالمطلع</w:t>
            </w:r>
          </w:p>
        </w:tc>
        <w:tc>
          <w:tcPr>
            <w:tcW w:type="dxa" w:w="3952"/>
            <w:vAlign w:val="center"/>
          </w:tcPr>
          <w:p>
            <w:pPr>
              <w:spacing w:line="283" w:lineRule="auto" w:after="0"/>
              <w:jc w:val="right"/>
              <w:bidi/>
            </w:pPr>
            <w:r>
              <w:rPr>
                <w:sz w:val="18"/>
              </w:rPr>
              <w:t>قد يساعد في تعيين البؤرة ولا يحكم الخاتمة وحده</w:t>
            </w:r>
          </w:p>
        </w:tc>
      </w:tr>
    </w:tbl>
    <w:p/>
    <w:p>
      <w:r>
        <w:br w:type="page"/>
      </w:r>
    </w:p>
    <w:p>
      <w:pPr>
        <w:pStyle w:val="Heading1"/>
        <w:spacing w:line="283" w:lineRule="auto" w:after="120"/>
        <w:jc w:val="right"/>
        <w:keepNext/>
        <w:bidi/>
      </w:pPr>
      <w:r>
        <w:t>الملحق النقدي الثاني: البسملة والافتتاحات والفواتح</w:t>
      </w:r>
    </w:p>
    <w:p>
      <w:pPr>
        <w:spacing w:line="283" w:lineRule="auto" w:after="80"/>
        <w:ind w:firstLine="397"/>
        <w:jc w:val="both"/>
        <w:bidi/>
      </w:pPr>
      <w:r>
        <w:t>يجب الفصل بين البسملة بوصفها جزءاً من التلاوة وافتتاحاً للسور، وبين استعمالها دليلاً مباشراً على محور كل سورة. فاشتراك السور في البسملة لا ينتج وحدةً موضوعيةً واحدة، لكنه يضع السورة داخل إطار الرحمة والربوبية والافتتاح باسم الله على مستوى كلي.</w:t>
      </w:r>
    </w:p>
    <w:p>
      <w:pPr>
        <w:spacing w:line="283" w:lineRule="auto" w:after="80"/>
        <w:ind w:firstLine="397"/>
        <w:jc w:val="both"/>
        <w:bidi/>
      </w:pPr>
      <w:r>
        <w:t>تؤدي فواتح السور وظائف متنوعة: حروف مقطعة، وحمد، وتسبيح، وقسم، ونداء، وخبر عن الكتاب، وأمر بالقراءة، وإعلان تنزيل. ولا يجوز تسوية هذه الفواتح في وظيفة واحدة، بل يُدرس كل افتتاح في علاقته بالمقطع الأول وبما يعود إليه لاحقاً.</w:t>
      </w:r>
    </w:p>
    <w:p>
      <w:pPr>
        <w:spacing w:line="283" w:lineRule="auto" w:after="80"/>
        <w:ind w:firstLine="397"/>
        <w:jc w:val="both"/>
        <w:bidi/>
      </w:pPr>
      <w:r>
        <w:t>قد يكون المطلع إعلاناً لمعيار القراءة، كما في افتتاحات الكتاب والتنزيل، أو بناءً لمشهد كوني، أو قسماً يمهد لحجة، أو تسبيحاً يدخل السورة في تصور الملك والتدبير. وتُختبر حاكمية المطلع بمدى عودة مفاهيمه ووظائفه في بقية السورة.</w:t>
      </w:r>
    </w:p>
    <w:p>
      <w:pPr>
        <w:spacing w:line="283" w:lineRule="auto" w:after="80"/>
        <w:ind w:firstLine="397"/>
        <w:jc w:val="both"/>
        <w:bidi/>
      </w:pPr>
      <w:r>
        <w:t>إذا ظهر اتصال قوي بين المطلع والخاتمة كان ذلك قرينة على البنية، لكنه لا يثبت وحده حلقيةً كاملةً أو تناظراً بين جميع المقاطع. وينبغي وصف نوع الاتصال: تكرار، أو تقابل، أو انتقال من أصل إلى مآل، أو عودة إلى المخاطب.</w:t>
      </w:r>
    </w:p>
    <w:p>
      <w:pPr>
        <w:spacing w:line="283" w:lineRule="auto" w:after="80"/>
        <w:ind w:firstLine="397"/>
        <w:jc w:val="both"/>
        <w:bidi/>
      </w:pPr>
      <w:r>
        <w:t>تُسجل الفواتح في بطاقة مستقلة: نوع الافتتاح، ومفاهيمه، ومخاطبه، ووظيفته، وعلاقته بالمقطع الأول، وعودته في السورة، وعلاقته بالخاتمة. ويصبح هذا التحليل سابقاً على إطلاق عبارات من قبيل «مفتاح السورة».</w:t>
      </w:r>
    </w:p>
    <w:p>
      <w:r>
        <w:br w:type="page"/>
      </w:r>
    </w:p>
    <w:p>
      <w:pPr>
        <w:pStyle w:val="Heading1"/>
        <w:spacing w:line="283" w:lineRule="auto" w:after="120"/>
        <w:jc w:val="right"/>
        <w:keepNext/>
        <w:bidi/>
      </w:pPr>
      <w:r>
        <w:t>الملحق النقدي الثالث: ترتيب النزول وترتيب التلاوة</w:t>
      </w:r>
    </w:p>
    <w:p>
      <w:pPr>
        <w:spacing w:line="283" w:lineRule="auto" w:after="80"/>
        <w:ind w:firstLine="397"/>
        <w:jc w:val="both"/>
        <w:bidi/>
      </w:pPr>
      <w:r>
        <w:t>تقوم الوحدة السُّورية في هذا المشروع على ترتيب التلاوة الثابت في المصحف، لأنه النص الذي تُقرأ فيه السورة بوصفها وحدةً. أما ترتيب النزول فهو مادة تاريخية مهمة لفهم مراحل الخطاب، لكنه لا يُستعمل لإعادة ترتيب السورة أو تفكيك بنيتها من غير دليل مستقل.</w:t>
      </w:r>
    </w:p>
    <w:p>
      <w:pPr>
        <w:spacing w:line="283" w:lineRule="auto" w:after="80"/>
        <w:ind w:firstLine="397"/>
        <w:jc w:val="both"/>
        <w:bidi/>
      </w:pPr>
      <w:r>
        <w:t>قد تساعد المكية والمدنية والأحداث التاريخية في تفسير المقام أو تطور التشريع، إلا أن نسبة آية أو مقطع إلى مرحلة مختلفة تحتاج إلى بينة. ولا يجوز أن تُفصل الآية من موضعها في السورة لأن تاريخاً مفترضاً يجعلها «دخيلة» على المحور المقترح.</w:t>
      </w:r>
    </w:p>
    <w:p>
      <w:pPr>
        <w:spacing w:line="283" w:lineRule="auto" w:after="80"/>
        <w:ind w:firstLine="397"/>
        <w:jc w:val="both"/>
        <w:bidi/>
      </w:pPr>
      <w:r>
        <w:t>ينبغي التفريق بين سؤالين: كيف تشكل الخطاب تاريخياً؟ وكيف يعمل النص في ترتيبه المتلو؟ قد يتقاطع الجوابان، لكنهما ليسا واحداً. وتعمل نظرية الوحدة السُّورية في السؤال الثاني أساساً، ثم تستعين بالأول حين تكون مادته ثابتةً ومفسرةً.</w:t>
      </w:r>
    </w:p>
    <w:p>
      <w:pPr>
        <w:spacing w:line="283" w:lineRule="auto" w:after="80"/>
        <w:ind w:firstLine="397"/>
        <w:jc w:val="both"/>
        <w:bidi/>
      </w:pPr>
      <w:r>
        <w:t>إذا ثبت تعدد مراحل النزول داخل السورة، لا يلزم أن يسقط انتظامها النهائي؛ فقد يكون ترتيب الآيات نفسه جزءاً من البيان في صورته المتلوة. ولذلك تُحلل العلاقة بين تاريخ النزول والترتيب النهائي من غير افتراض أن الأقدم تاريخياً أسبق بنيوياً.</w:t>
      </w:r>
    </w:p>
    <w:p>
      <w:pPr>
        <w:spacing w:line="283" w:lineRule="auto" w:after="80"/>
        <w:ind w:firstLine="397"/>
        <w:jc w:val="both"/>
        <w:bidi/>
      </w:pPr>
      <w:r>
        <w:t>يُعد استعمال ترتيب نزول ظني لإعادة بناء محور السورة من أخطر مصادر الدقة الزائفة. فكل فرضية تاريخية يجب أن تحمل درجتها ومصدرها، ويُختبر هل تتغير وحدة السورة إذا أُهملت تلك الفرضية. فإذا بقيت الوحدة مستقرةً كان السياق التاريخي مفسراً لا مؤسساً.</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المستوى</w:t>
            </w:r>
          </w:p>
        </w:tc>
        <w:tc>
          <w:tcPr>
            <w:tcW w:type="dxa" w:w="3952"/>
            <w:vAlign w:val="center"/>
          </w:tcPr>
          <w:p>
            <w:pPr>
              <w:spacing w:line="283" w:lineRule="auto" w:after="0"/>
              <w:jc w:val="center"/>
              <w:bidi/>
            </w:pPr>
            <w:r>
              <w:rPr>
                <w:b/>
                <w:sz w:val="18"/>
              </w:rPr>
              <w:t>وظيفته</w:t>
            </w:r>
          </w:p>
        </w:tc>
      </w:tr>
      <w:tr>
        <w:tc>
          <w:tcPr>
            <w:tcW w:type="dxa" w:w="3952"/>
            <w:vAlign w:val="center"/>
          </w:tcPr>
          <w:p>
            <w:pPr>
              <w:spacing w:line="283" w:lineRule="auto" w:after="0"/>
              <w:jc w:val="right"/>
              <w:bidi/>
            </w:pPr>
            <w:r>
              <w:rPr>
                <w:sz w:val="18"/>
              </w:rPr>
              <w:t>ترتيب التلاوة</w:t>
            </w:r>
          </w:p>
        </w:tc>
        <w:tc>
          <w:tcPr>
            <w:tcW w:type="dxa" w:w="3952"/>
            <w:vAlign w:val="center"/>
          </w:tcPr>
          <w:p>
            <w:pPr>
              <w:spacing w:line="283" w:lineRule="auto" w:after="0"/>
              <w:jc w:val="right"/>
              <w:bidi/>
            </w:pPr>
            <w:r>
              <w:rPr>
                <w:sz w:val="18"/>
              </w:rPr>
              <w:t>الإطار النصي الحاكم لدراسة الوحدة السُّورية</w:t>
            </w:r>
          </w:p>
        </w:tc>
      </w:tr>
      <w:tr>
        <w:tc>
          <w:tcPr>
            <w:tcW w:type="dxa" w:w="3952"/>
            <w:vAlign w:val="center"/>
          </w:tcPr>
          <w:p>
            <w:pPr>
              <w:spacing w:line="283" w:lineRule="auto" w:after="0"/>
              <w:jc w:val="right"/>
              <w:bidi/>
            </w:pPr>
            <w:r>
              <w:rPr>
                <w:sz w:val="18"/>
              </w:rPr>
              <w:t>ترتيب النزول الثابت</w:t>
            </w:r>
          </w:p>
        </w:tc>
        <w:tc>
          <w:tcPr>
            <w:tcW w:type="dxa" w:w="3952"/>
            <w:vAlign w:val="center"/>
          </w:tcPr>
          <w:p>
            <w:pPr>
              <w:spacing w:line="283" w:lineRule="auto" w:after="0"/>
              <w:jc w:val="right"/>
              <w:bidi/>
            </w:pPr>
            <w:r>
              <w:rPr>
                <w:sz w:val="18"/>
              </w:rPr>
              <w:t>قرينة تاريخية لتطور الخطاب والمقام</w:t>
            </w:r>
          </w:p>
        </w:tc>
      </w:tr>
      <w:tr>
        <w:tc>
          <w:tcPr>
            <w:tcW w:type="dxa" w:w="3952"/>
            <w:vAlign w:val="center"/>
          </w:tcPr>
          <w:p>
            <w:pPr>
              <w:spacing w:line="283" w:lineRule="auto" w:after="0"/>
              <w:jc w:val="right"/>
              <w:bidi/>
            </w:pPr>
            <w:r>
              <w:rPr>
                <w:sz w:val="18"/>
              </w:rPr>
              <w:t>ترتيب النزول المختلف فيه</w:t>
            </w:r>
          </w:p>
        </w:tc>
        <w:tc>
          <w:tcPr>
            <w:tcW w:type="dxa" w:w="3952"/>
            <w:vAlign w:val="center"/>
          </w:tcPr>
          <w:p>
            <w:pPr>
              <w:spacing w:line="283" w:lineRule="auto" w:after="0"/>
              <w:jc w:val="right"/>
              <w:bidi/>
            </w:pPr>
            <w:r>
              <w:rPr>
                <w:sz w:val="18"/>
              </w:rPr>
              <w:t>فرضية لا تُقدَّم على بنية النص</w:t>
            </w:r>
          </w:p>
        </w:tc>
      </w:tr>
      <w:tr>
        <w:tc>
          <w:tcPr>
            <w:tcW w:type="dxa" w:w="3952"/>
            <w:vAlign w:val="center"/>
          </w:tcPr>
          <w:p>
            <w:pPr>
              <w:spacing w:line="283" w:lineRule="auto" w:after="0"/>
              <w:jc w:val="right"/>
              <w:bidi/>
            </w:pPr>
            <w:r>
              <w:rPr>
                <w:sz w:val="18"/>
              </w:rPr>
              <w:t>المكي والمدني</w:t>
            </w:r>
          </w:p>
        </w:tc>
        <w:tc>
          <w:tcPr>
            <w:tcW w:type="dxa" w:w="3952"/>
            <w:vAlign w:val="center"/>
          </w:tcPr>
          <w:p>
            <w:pPr>
              <w:spacing w:line="283" w:lineRule="auto" w:after="0"/>
              <w:jc w:val="right"/>
              <w:bidi/>
            </w:pPr>
            <w:r>
              <w:rPr>
                <w:sz w:val="18"/>
              </w:rPr>
              <w:t>سياق عام يحتاج إلى تخصيص المقطع</w:t>
            </w:r>
          </w:p>
        </w:tc>
      </w:tr>
      <w:tr>
        <w:tc>
          <w:tcPr>
            <w:tcW w:type="dxa" w:w="3952"/>
            <w:vAlign w:val="center"/>
          </w:tcPr>
          <w:p>
            <w:pPr>
              <w:spacing w:line="283" w:lineRule="auto" w:after="0"/>
              <w:jc w:val="right"/>
              <w:bidi/>
            </w:pPr>
            <w:r>
              <w:rPr>
                <w:sz w:val="18"/>
              </w:rPr>
              <w:t>أسباب النزول</w:t>
            </w:r>
          </w:p>
        </w:tc>
        <w:tc>
          <w:tcPr>
            <w:tcW w:type="dxa" w:w="3952"/>
            <w:vAlign w:val="center"/>
          </w:tcPr>
          <w:p>
            <w:pPr>
              <w:spacing w:line="283" w:lineRule="auto" w:after="0"/>
              <w:jc w:val="right"/>
              <w:bidi/>
            </w:pPr>
            <w:r>
              <w:rPr>
                <w:sz w:val="18"/>
              </w:rPr>
              <w:t>قرائن موضعية بعد التحقق من الثبوت والوظيفة</w:t>
            </w:r>
          </w:p>
        </w:tc>
      </w:tr>
    </w:tbl>
    <w:p/>
    <w:p>
      <w:r>
        <w:br w:type="page"/>
      </w:r>
    </w:p>
    <w:p>
      <w:pPr>
        <w:pStyle w:val="Heading1"/>
        <w:spacing w:line="283" w:lineRule="auto" w:after="120"/>
        <w:jc w:val="right"/>
        <w:keepNext/>
        <w:bidi/>
      </w:pPr>
      <w:r>
        <w:t>الملحق النقدي الرابع: اقتران السور وعلاقات الجوار</w:t>
      </w:r>
    </w:p>
    <w:p>
      <w:pPr>
        <w:spacing w:line="283" w:lineRule="auto" w:after="80"/>
        <w:ind w:firstLine="397"/>
        <w:jc w:val="both"/>
        <w:bidi/>
      </w:pPr>
      <w:r>
        <w:t>بعد تثبيت وحدة السورة يمكن دراسة علاقتها بالسورة السابقة واللاحقة، لكن علاقة الجوار ليست جزءاً من تعريف الوحدة الداخلية. فالسورة ينبغي أن تُفهم أولاً في بنيتها، ثم يُسأل عن التقابل أو الاستمرار أو التفصيل أو الانتقال بين السور.</w:t>
      </w:r>
    </w:p>
    <w:p>
      <w:pPr>
        <w:spacing w:line="283" w:lineRule="auto" w:after="80"/>
        <w:ind w:firstLine="397"/>
        <w:jc w:val="both"/>
        <w:bidi/>
      </w:pPr>
      <w:r>
        <w:t>قد تتجاور سورتان في مفاهيم أو خاتمة ومطلع أو قصة أو حكم، وقد يكون ذلك من انتظام المصحف. غير أن مجرد الجوار لا يثبت علاقة مقصودة بعينها، ولا يجوز اختراع مناسبة لكل انتقال بين سورتين ثم جعلها حاكمةً على تفسيرهما.</w:t>
      </w:r>
    </w:p>
    <w:p>
      <w:pPr>
        <w:spacing w:line="283" w:lineRule="auto" w:after="80"/>
        <w:ind w:firstLine="397"/>
        <w:jc w:val="both"/>
        <w:bidi/>
      </w:pPr>
      <w:r>
        <w:t>تُميز العلاقات بين السور إلى: علاقة تفصيل، وعلاقة تقابل، وعلاقة استكمال، وعلاقة انتقال، وعلاقة تصريف موضوع، وعلاقة مآلية. ويجب أن يكون لكل وصف قرائن نصية من السورتين، لا مجرد تشابه عام.</w:t>
      </w:r>
    </w:p>
    <w:p>
      <w:pPr>
        <w:spacing w:line="283" w:lineRule="auto" w:after="80"/>
        <w:ind w:firstLine="397"/>
        <w:jc w:val="both"/>
        <w:bidi/>
      </w:pPr>
      <w:r>
        <w:t>لا تُستعمل نظرية «أزواج السور» قاعدةً كليةً قبل اختبار مستقل؛ فقد تكون نافعةً في مجموعات معينة ومتكلفةً في أخرى. وتُعرض دائماً فرضية بديلة تقرأ كل سورة مستقلةً ثم تقارن مقدار ما يضيفه الاقتران.</w:t>
      </w:r>
    </w:p>
    <w:p>
      <w:pPr>
        <w:spacing w:line="283" w:lineRule="auto" w:after="80"/>
        <w:ind w:firstLine="397"/>
        <w:jc w:val="both"/>
        <w:bidi/>
      </w:pPr>
      <w:r>
        <w:t>تدخل علاقة الجوار في المستوى الأعلى من الشبكة، لكنها لا تبرر تعديل حدود مقاطع السورة أو محورِها من أجل تحقيق تناظر مع سورة أخرى. فالقريب الداخلي مقدم في بناء الوحدة على البعيد الخارجي ما لم تقم حجة أقوى.</w:t>
      </w:r>
    </w:p>
    <w:p>
      <w:r>
        <w:br w:type="page"/>
      </w:r>
    </w:p>
    <w:p>
      <w:pPr>
        <w:pStyle w:val="Heading1"/>
        <w:spacing w:line="283" w:lineRule="auto" w:after="120"/>
        <w:jc w:val="right"/>
        <w:keepNext/>
        <w:bidi/>
      </w:pPr>
      <w:r>
        <w:t>الملحق النقدي الخامس: الأسئلة البحثية المفتوحة</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7"/>
              </w:rPr>
              <w:t>السؤال</w:t>
            </w:r>
          </w:p>
        </w:tc>
        <w:tc>
          <w:tcPr>
            <w:tcW w:type="dxa" w:w="2635"/>
            <w:vAlign w:val="center"/>
          </w:tcPr>
          <w:p>
            <w:pPr>
              <w:spacing w:line="283" w:lineRule="auto" w:after="0"/>
              <w:jc w:val="center"/>
              <w:bidi/>
            </w:pPr>
            <w:r>
              <w:rPr>
                <w:b/>
                <w:sz w:val="17"/>
              </w:rPr>
              <w:t>الإشكال</w:t>
            </w:r>
          </w:p>
        </w:tc>
        <w:tc>
          <w:tcPr>
            <w:tcW w:type="dxa" w:w="2635"/>
            <w:vAlign w:val="center"/>
          </w:tcPr>
          <w:p>
            <w:pPr>
              <w:spacing w:line="283" w:lineRule="auto" w:after="0"/>
              <w:jc w:val="center"/>
              <w:bidi/>
            </w:pPr>
            <w:r>
              <w:rPr>
                <w:b/>
                <w:sz w:val="17"/>
              </w:rPr>
              <w:t>مسار البحث</w:t>
            </w:r>
          </w:p>
        </w:tc>
      </w:tr>
      <w:tr>
        <w:tc>
          <w:tcPr>
            <w:tcW w:type="dxa" w:w="2635"/>
            <w:vAlign w:val="center"/>
          </w:tcPr>
          <w:p>
            <w:pPr>
              <w:spacing w:line="283" w:lineRule="auto" w:after="0"/>
              <w:jc w:val="right"/>
              <w:bidi/>
            </w:pPr>
            <w:r>
              <w:rPr>
                <w:sz w:val="17"/>
              </w:rPr>
              <w:t>حدود المقطع</w:t>
            </w:r>
          </w:p>
        </w:tc>
        <w:tc>
          <w:tcPr>
            <w:tcW w:type="dxa" w:w="2635"/>
            <w:vAlign w:val="center"/>
          </w:tcPr>
          <w:p>
            <w:pPr>
              <w:spacing w:line="283" w:lineRule="auto" w:after="0"/>
              <w:jc w:val="right"/>
              <w:bidi/>
            </w:pPr>
            <w:r>
              <w:rPr>
                <w:sz w:val="17"/>
              </w:rPr>
              <w:t>هل يمكن الوصول إلى معدل اتفاق مرتفع بين باحثين مستقلين في تقسيم السور؟</w:t>
            </w:r>
          </w:p>
        </w:tc>
        <w:tc>
          <w:tcPr>
            <w:tcW w:type="dxa" w:w="2635"/>
            <w:vAlign w:val="center"/>
          </w:tcPr>
          <w:p>
            <w:pPr>
              <w:spacing w:line="283" w:lineRule="auto" w:after="0"/>
              <w:jc w:val="right"/>
              <w:bidi/>
            </w:pPr>
            <w:r>
              <w:rPr>
                <w:sz w:val="17"/>
              </w:rPr>
              <w:t>إنشاء عينة معيارية وتشفير القرائن ومقارنة الاتفاق.</w:t>
            </w:r>
          </w:p>
        </w:tc>
      </w:tr>
      <w:tr>
        <w:tc>
          <w:tcPr>
            <w:tcW w:type="dxa" w:w="2635"/>
            <w:vAlign w:val="center"/>
          </w:tcPr>
          <w:p>
            <w:pPr>
              <w:spacing w:line="283" w:lineRule="auto" w:after="0"/>
              <w:jc w:val="right"/>
              <w:bidi/>
            </w:pPr>
            <w:r>
              <w:rPr>
                <w:sz w:val="17"/>
              </w:rPr>
              <w:t>المحور الواحد</w:t>
            </w:r>
          </w:p>
        </w:tc>
        <w:tc>
          <w:tcPr>
            <w:tcW w:type="dxa" w:w="2635"/>
            <w:vAlign w:val="center"/>
          </w:tcPr>
          <w:p>
            <w:pPr>
              <w:spacing w:line="283" w:lineRule="auto" w:after="0"/>
              <w:jc w:val="right"/>
              <w:bidi/>
            </w:pPr>
            <w:r>
              <w:rPr>
                <w:sz w:val="17"/>
              </w:rPr>
              <w:t>ما نسبة السور التي يفسرها محور واحد بكفاءة مقابل السور متعددة المراكز؟</w:t>
            </w:r>
          </w:p>
        </w:tc>
        <w:tc>
          <w:tcPr>
            <w:tcW w:type="dxa" w:w="2635"/>
            <w:vAlign w:val="center"/>
          </w:tcPr>
          <w:p>
            <w:pPr>
              <w:spacing w:line="283" w:lineRule="auto" w:after="0"/>
              <w:jc w:val="right"/>
              <w:bidi/>
            </w:pPr>
            <w:r>
              <w:rPr>
                <w:sz w:val="17"/>
              </w:rPr>
              <w:t>اختبار نماذج متعددة قبل التصنيف.</w:t>
            </w:r>
          </w:p>
        </w:tc>
      </w:tr>
      <w:tr>
        <w:tc>
          <w:tcPr>
            <w:tcW w:type="dxa" w:w="2635"/>
            <w:vAlign w:val="center"/>
          </w:tcPr>
          <w:p>
            <w:pPr>
              <w:spacing w:line="283" w:lineRule="auto" w:after="0"/>
              <w:jc w:val="right"/>
              <w:bidi/>
            </w:pPr>
            <w:r>
              <w:rPr>
                <w:sz w:val="17"/>
              </w:rPr>
              <w:t>البنية الحلقية</w:t>
            </w:r>
          </w:p>
        </w:tc>
        <w:tc>
          <w:tcPr>
            <w:tcW w:type="dxa" w:w="2635"/>
            <w:vAlign w:val="center"/>
          </w:tcPr>
          <w:p>
            <w:pPr>
              <w:spacing w:line="283" w:lineRule="auto" w:after="0"/>
              <w:jc w:val="right"/>
              <w:bidi/>
            </w:pPr>
            <w:r>
              <w:rPr>
                <w:sz w:val="17"/>
              </w:rPr>
              <w:t>ما المعايير التي تميز الحلقة الحقيقية من التناظر المصنوع؟</w:t>
            </w:r>
          </w:p>
        </w:tc>
        <w:tc>
          <w:tcPr>
            <w:tcW w:type="dxa" w:w="2635"/>
            <w:vAlign w:val="center"/>
          </w:tcPr>
          <w:p>
            <w:pPr>
              <w:spacing w:line="283" w:lineRule="auto" w:after="0"/>
              <w:jc w:val="right"/>
              <w:bidi/>
            </w:pPr>
            <w:r>
              <w:rPr>
                <w:sz w:val="17"/>
              </w:rPr>
              <w:t>اختبارات عمياء وفرضيات عشوائية للمقارنة.</w:t>
            </w:r>
          </w:p>
        </w:tc>
      </w:tr>
      <w:tr>
        <w:tc>
          <w:tcPr>
            <w:tcW w:type="dxa" w:w="2635"/>
            <w:vAlign w:val="center"/>
          </w:tcPr>
          <w:p>
            <w:pPr>
              <w:spacing w:line="283" w:lineRule="auto" w:after="0"/>
              <w:jc w:val="right"/>
              <w:bidi/>
            </w:pPr>
            <w:r>
              <w:rPr>
                <w:sz w:val="17"/>
              </w:rPr>
              <w:t>المطلع والخاتمة</w:t>
            </w:r>
          </w:p>
        </w:tc>
        <w:tc>
          <w:tcPr>
            <w:tcW w:type="dxa" w:w="2635"/>
            <w:vAlign w:val="center"/>
          </w:tcPr>
          <w:p>
            <w:pPr>
              <w:spacing w:line="283" w:lineRule="auto" w:after="0"/>
              <w:jc w:val="right"/>
              <w:bidi/>
            </w:pPr>
            <w:r>
              <w:rPr>
                <w:sz w:val="17"/>
              </w:rPr>
              <w:t>كم مرة تحملان فعلاً بنيةً إطاريةً للسورة؟</w:t>
            </w:r>
          </w:p>
        </w:tc>
        <w:tc>
          <w:tcPr>
            <w:tcW w:type="dxa" w:w="2635"/>
            <w:vAlign w:val="center"/>
          </w:tcPr>
          <w:p>
            <w:pPr>
              <w:spacing w:line="283" w:lineRule="auto" w:after="0"/>
              <w:jc w:val="right"/>
              <w:bidi/>
            </w:pPr>
            <w:r>
              <w:rPr>
                <w:sz w:val="17"/>
              </w:rPr>
              <w:t>مدونة لجميع السور وتوصيف أنواع الاتصال.</w:t>
            </w:r>
          </w:p>
        </w:tc>
      </w:tr>
      <w:tr>
        <w:tc>
          <w:tcPr>
            <w:tcW w:type="dxa" w:w="2635"/>
            <w:vAlign w:val="center"/>
          </w:tcPr>
          <w:p>
            <w:pPr>
              <w:spacing w:line="283" w:lineRule="auto" w:after="0"/>
              <w:jc w:val="right"/>
              <w:bidi/>
            </w:pPr>
            <w:r>
              <w:rPr>
                <w:sz w:val="17"/>
              </w:rPr>
              <w:t>أسماء السور</w:t>
            </w:r>
          </w:p>
        </w:tc>
        <w:tc>
          <w:tcPr>
            <w:tcW w:type="dxa" w:w="2635"/>
            <w:vAlign w:val="center"/>
          </w:tcPr>
          <w:p>
            <w:pPr>
              <w:spacing w:line="283" w:lineRule="auto" w:after="0"/>
              <w:jc w:val="right"/>
              <w:bidi/>
            </w:pPr>
            <w:r>
              <w:rPr>
                <w:sz w:val="17"/>
              </w:rPr>
              <w:t>ما مقدار علاقتها بالمحور أو العقدة أو المثال؟</w:t>
            </w:r>
          </w:p>
        </w:tc>
        <w:tc>
          <w:tcPr>
            <w:tcW w:type="dxa" w:w="2635"/>
            <w:vAlign w:val="center"/>
          </w:tcPr>
          <w:p>
            <w:pPr>
              <w:spacing w:line="283" w:lineRule="auto" w:after="0"/>
              <w:jc w:val="right"/>
              <w:bidi/>
            </w:pPr>
            <w:r>
              <w:rPr>
                <w:sz w:val="17"/>
              </w:rPr>
              <w:t>مقارنة الأسماء التاريخية ومواقع ألفاظها ووظائفها.</w:t>
            </w:r>
          </w:p>
        </w:tc>
      </w:tr>
      <w:tr>
        <w:tc>
          <w:tcPr>
            <w:tcW w:type="dxa" w:w="2635"/>
            <w:vAlign w:val="center"/>
          </w:tcPr>
          <w:p>
            <w:pPr>
              <w:spacing w:line="283" w:lineRule="auto" w:after="0"/>
              <w:jc w:val="right"/>
              <w:bidi/>
            </w:pPr>
            <w:r>
              <w:rPr>
                <w:sz w:val="17"/>
              </w:rPr>
              <w:t>السور الطويلة</w:t>
            </w:r>
          </w:p>
        </w:tc>
        <w:tc>
          <w:tcPr>
            <w:tcW w:type="dxa" w:w="2635"/>
            <w:vAlign w:val="center"/>
          </w:tcPr>
          <w:p>
            <w:pPr>
              <w:spacing w:line="283" w:lineRule="auto" w:after="0"/>
              <w:jc w:val="right"/>
              <w:bidi/>
            </w:pPr>
            <w:r>
              <w:rPr>
                <w:sz w:val="17"/>
              </w:rPr>
              <w:t>هل تحتاج إلى نماذج هرمية متعددة المستويات بدلاً من محور مفرد؟</w:t>
            </w:r>
          </w:p>
        </w:tc>
        <w:tc>
          <w:tcPr>
            <w:tcW w:type="dxa" w:w="2635"/>
            <w:vAlign w:val="center"/>
          </w:tcPr>
          <w:p>
            <w:pPr>
              <w:spacing w:line="283" w:lineRule="auto" w:after="0"/>
              <w:jc w:val="right"/>
              <w:bidi/>
            </w:pPr>
            <w:r>
              <w:rPr>
                <w:sz w:val="17"/>
              </w:rPr>
              <w:t>خرائط مقاطع كبرى وفرعية وعلاقاتها.</w:t>
            </w:r>
          </w:p>
        </w:tc>
      </w:tr>
      <w:tr>
        <w:tc>
          <w:tcPr>
            <w:tcW w:type="dxa" w:w="2635"/>
            <w:vAlign w:val="center"/>
          </w:tcPr>
          <w:p>
            <w:pPr>
              <w:spacing w:line="283" w:lineRule="auto" w:after="0"/>
              <w:jc w:val="right"/>
              <w:bidi/>
            </w:pPr>
            <w:r>
              <w:rPr>
                <w:sz w:val="17"/>
              </w:rPr>
              <w:t>السور القصيرة</w:t>
            </w:r>
          </w:p>
        </w:tc>
        <w:tc>
          <w:tcPr>
            <w:tcW w:type="dxa" w:w="2635"/>
            <w:vAlign w:val="center"/>
          </w:tcPr>
          <w:p>
            <w:pPr>
              <w:spacing w:line="283" w:lineRule="auto" w:after="0"/>
              <w:jc w:val="right"/>
              <w:bidi/>
            </w:pPr>
            <w:r>
              <w:rPr>
                <w:sz w:val="17"/>
              </w:rPr>
              <w:t>هل الإيقاع والتقابل فيها أكثر وزناً من السور الطويلة؟</w:t>
            </w:r>
          </w:p>
        </w:tc>
        <w:tc>
          <w:tcPr>
            <w:tcW w:type="dxa" w:w="2635"/>
            <w:vAlign w:val="center"/>
          </w:tcPr>
          <w:p>
            <w:pPr>
              <w:spacing w:line="283" w:lineRule="auto" w:after="0"/>
              <w:jc w:val="right"/>
              <w:bidi/>
            </w:pPr>
            <w:r>
              <w:rPr>
                <w:sz w:val="17"/>
              </w:rPr>
              <w:t>مقارنة كمية وكيفية مع حفظ الدلالة.</w:t>
            </w:r>
          </w:p>
        </w:tc>
      </w:tr>
      <w:tr>
        <w:tc>
          <w:tcPr>
            <w:tcW w:type="dxa" w:w="2635"/>
            <w:vAlign w:val="center"/>
          </w:tcPr>
          <w:p>
            <w:pPr>
              <w:spacing w:line="283" w:lineRule="auto" w:after="0"/>
              <w:jc w:val="right"/>
              <w:bidi/>
            </w:pPr>
            <w:r>
              <w:rPr>
                <w:sz w:val="17"/>
              </w:rPr>
              <w:t>ترتيب النزول</w:t>
            </w:r>
          </w:p>
        </w:tc>
        <w:tc>
          <w:tcPr>
            <w:tcW w:type="dxa" w:w="2635"/>
            <w:vAlign w:val="center"/>
          </w:tcPr>
          <w:p>
            <w:pPr>
              <w:spacing w:line="283" w:lineRule="auto" w:after="0"/>
              <w:jc w:val="right"/>
              <w:bidi/>
            </w:pPr>
            <w:r>
              <w:rPr>
                <w:sz w:val="17"/>
              </w:rPr>
              <w:t>ما أثر المادة التاريخية الثابتة في تفسير البنية النهائية؟</w:t>
            </w:r>
          </w:p>
        </w:tc>
        <w:tc>
          <w:tcPr>
            <w:tcW w:type="dxa" w:w="2635"/>
            <w:vAlign w:val="center"/>
          </w:tcPr>
          <w:p>
            <w:pPr>
              <w:spacing w:line="283" w:lineRule="auto" w:after="0"/>
              <w:jc w:val="right"/>
              <w:bidi/>
            </w:pPr>
            <w:r>
              <w:rPr>
                <w:sz w:val="17"/>
              </w:rPr>
              <w:t>نماذج مزدوجة للتاريخ والتلاوة.</w:t>
            </w:r>
          </w:p>
        </w:tc>
      </w:tr>
      <w:tr>
        <w:tc>
          <w:tcPr>
            <w:tcW w:type="dxa" w:w="2635"/>
            <w:vAlign w:val="center"/>
          </w:tcPr>
          <w:p>
            <w:pPr>
              <w:spacing w:line="283" w:lineRule="auto" w:after="0"/>
              <w:jc w:val="right"/>
              <w:bidi/>
            </w:pPr>
            <w:r>
              <w:rPr>
                <w:sz w:val="17"/>
              </w:rPr>
              <w:t>اقتران السور</w:t>
            </w:r>
          </w:p>
        </w:tc>
        <w:tc>
          <w:tcPr>
            <w:tcW w:type="dxa" w:w="2635"/>
            <w:vAlign w:val="center"/>
          </w:tcPr>
          <w:p>
            <w:pPr>
              <w:spacing w:line="283" w:lineRule="auto" w:after="0"/>
              <w:jc w:val="right"/>
              <w:bidi/>
            </w:pPr>
            <w:r>
              <w:rPr>
                <w:sz w:val="17"/>
              </w:rPr>
              <w:t>هل توجد علاقات جوار قابلة للتكرار والقياس؟</w:t>
            </w:r>
          </w:p>
        </w:tc>
        <w:tc>
          <w:tcPr>
            <w:tcW w:type="dxa" w:w="2635"/>
            <w:vAlign w:val="center"/>
          </w:tcPr>
          <w:p>
            <w:pPr>
              <w:spacing w:line="283" w:lineRule="auto" w:after="0"/>
              <w:jc w:val="right"/>
              <w:bidi/>
            </w:pPr>
            <w:r>
              <w:rPr>
                <w:sz w:val="17"/>
              </w:rPr>
              <w:t>تعريف العلاقات واختبار مجموعات المصحف.</w:t>
            </w:r>
          </w:p>
        </w:tc>
      </w:tr>
      <w:tr>
        <w:tc>
          <w:tcPr>
            <w:tcW w:type="dxa" w:w="2635"/>
            <w:vAlign w:val="center"/>
          </w:tcPr>
          <w:p>
            <w:pPr>
              <w:spacing w:line="283" w:lineRule="auto" w:after="0"/>
              <w:jc w:val="right"/>
              <w:bidi/>
            </w:pPr>
            <w:r>
              <w:rPr>
                <w:sz w:val="17"/>
              </w:rPr>
              <w:t>الحوسبة</w:t>
            </w:r>
          </w:p>
        </w:tc>
        <w:tc>
          <w:tcPr>
            <w:tcW w:type="dxa" w:w="2635"/>
            <w:vAlign w:val="center"/>
          </w:tcPr>
          <w:p>
            <w:pPr>
              <w:spacing w:line="283" w:lineRule="auto" w:after="0"/>
              <w:jc w:val="right"/>
              <w:bidi/>
            </w:pPr>
            <w:r>
              <w:rPr>
                <w:sz w:val="17"/>
              </w:rPr>
              <w:t>هل تستطيع الخوارزميات اقتراح حدود مقاطع ذات فائدة حقيقية؟</w:t>
            </w:r>
          </w:p>
        </w:tc>
        <w:tc>
          <w:tcPr>
            <w:tcW w:type="dxa" w:w="2635"/>
            <w:vAlign w:val="center"/>
          </w:tcPr>
          <w:p>
            <w:pPr>
              <w:spacing w:line="283" w:lineRule="auto" w:after="0"/>
              <w:jc w:val="right"/>
              <w:bidi/>
            </w:pPr>
            <w:r>
              <w:rPr>
                <w:sz w:val="17"/>
              </w:rPr>
              <w:t>مقارنة الاقتراح الآلي بتقسيمات خبراء معللة.</w:t>
            </w:r>
          </w:p>
        </w:tc>
      </w:tr>
      <w:tr>
        <w:tc>
          <w:tcPr>
            <w:tcW w:type="dxa" w:w="2635"/>
            <w:vAlign w:val="center"/>
          </w:tcPr>
          <w:p>
            <w:pPr>
              <w:spacing w:line="283" w:lineRule="auto" w:after="0"/>
              <w:jc w:val="right"/>
              <w:bidi/>
            </w:pPr>
            <w:r>
              <w:rPr>
                <w:sz w:val="17"/>
              </w:rPr>
              <w:t>التفسير المقارن</w:t>
            </w:r>
          </w:p>
        </w:tc>
        <w:tc>
          <w:tcPr>
            <w:tcW w:type="dxa" w:w="2635"/>
            <w:vAlign w:val="center"/>
          </w:tcPr>
          <w:p>
            <w:pPr>
              <w:spacing w:line="283" w:lineRule="auto" w:after="0"/>
              <w:jc w:val="right"/>
              <w:bidi/>
            </w:pPr>
            <w:r>
              <w:rPr>
                <w:sz w:val="17"/>
              </w:rPr>
              <w:t>كيف تختلف خريطة السورة بين المدارس من غير تغيير النص؟</w:t>
            </w:r>
          </w:p>
        </w:tc>
        <w:tc>
          <w:tcPr>
            <w:tcW w:type="dxa" w:w="2635"/>
            <w:vAlign w:val="center"/>
          </w:tcPr>
          <w:p>
            <w:pPr>
              <w:spacing w:line="283" w:lineRule="auto" w:after="0"/>
              <w:jc w:val="right"/>
              <w:bidi/>
            </w:pPr>
            <w:r>
              <w:rPr>
                <w:sz w:val="17"/>
              </w:rPr>
              <w:t>تحليل أثر الافتراضات المذهبية والبلاغية.</w:t>
            </w:r>
          </w:p>
        </w:tc>
      </w:tr>
      <w:tr>
        <w:tc>
          <w:tcPr>
            <w:tcW w:type="dxa" w:w="2635"/>
            <w:vAlign w:val="center"/>
          </w:tcPr>
          <w:p>
            <w:pPr>
              <w:spacing w:line="283" w:lineRule="auto" w:after="0"/>
              <w:jc w:val="right"/>
              <w:bidi/>
            </w:pPr>
            <w:r>
              <w:rPr>
                <w:sz w:val="17"/>
              </w:rPr>
              <w:t>التعليم</w:t>
            </w:r>
          </w:p>
        </w:tc>
        <w:tc>
          <w:tcPr>
            <w:tcW w:type="dxa" w:w="2635"/>
            <w:vAlign w:val="center"/>
          </w:tcPr>
          <w:p>
            <w:pPr>
              <w:spacing w:line="283" w:lineRule="auto" w:after="0"/>
              <w:jc w:val="right"/>
              <w:bidi/>
            </w:pPr>
            <w:r>
              <w:rPr>
                <w:sz w:val="17"/>
              </w:rPr>
              <w:t>كيف يُدرَّس تدبر السورة من غير تلقين محور جاهز؟</w:t>
            </w:r>
          </w:p>
        </w:tc>
        <w:tc>
          <w:tcPr>
            <w:tcW w:type="dxa" w:w="2635"/>
            <w:vAlign w:val="center"/>
          </w:tcPr>
          <w:p>
            <w:pPr>
              <w:spacing w:line="283" w:lineRule="auto" w:after="0"/>
              <w:jc w:val="right"/>
              <w:bidi/>
            </w:pPr>
            <w:r>
              <w:rPr>
                <w:sz w:val="17"/>
              </w:rPr>
              <w:t>تمارين بناء فرضيات ومقارنة أدلة وحدود.</w:t>
            </w:r>
          </w:p>
        </w:tc>
      </w:tr>
    </w:tbl>
    <w:p/>
    <w:p>
      <w:pPr>
        <w:pStyle w:val="Heading2"/>
        <w:spacing w:line="283" w:lineRule="auto" w:after="120"/>
        <w:jc w:val="right"/>
        <w:keepNext/>
        <w:bidi/>
      </w:pPr>
      <w:r>
        <w:t>السؤال المفتوح 1: حدود المقطع</w:t>
      </w:r>
    </w:p>
    <w:p>
      <w:pPr>
        <w:spacing w:line="283" w:lineRule="auto" w:after="80"/>
        <w:ind w:firstLine="397"/>
        <w:jc w:val="both"/>
        <w:bidi/>
      </w:pPr>
      <w:r>
        <w:t>هل يمكن الوصول إلى معدل اتفاق مرتفع بين باحثين مستقلين في تقسيم السور؟</w:t>
      </w:r>
    </w:p>
    <w:p>
      <w:pPr>
        <w:spacing w:line="283" w:lineRule="auto" w:after="80"/>
        <w:ind w:firstLine="397"/>
        <w:jc w:val="both"/>
        <w:bidi/>
      </w:pPr>
      <w:r>
        <w:t>المسار المقترح: إنشاء عينة معيارية وتشفير القرائن ومقارنة الاتفاق.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2: المحور الواحد</w:t>
      </w:r>
    </w:p>
    <w:p>
      <w:pPr>
        <w:spacing w:line="283" w:lineRule="auto" w:after="80"/>
        <w:ind w:firstLine="397"/>
        <w:jc w:val="both"/>
        <w:bidi/>
      </w:pPr>
      <w:r>
        <w:t>ما نسبة السور التي يفسرها محور واحد بكفاءة مقابل السور متعددة المراكز؟</w:t>
      </w:r>
    </w:p>
    <w:p>
      <w:pPr>
        <w:spacing w:line="283" w:lineRule="auto" w:after="80"/>
        <w:ind w:firstLine="397"/>
        <w:jc w:val="both"/>
        <w:bidi/>
      </w:pPr>
      <w:r>
        <w:t>المسار المقترح: اختبار نماذج متعددة قبل التصنيف.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3: البنية الحلقية</w:t>
      </w:r>
    </w:p>
    <w:p>
      <w:pPr>
        <w:spacing w:line="283" w:lineRule="auto" w:after="80"/>
        <w:ind w:firstLine="397"/>
        <w:jc w:val="both"/>
        <w:bidi/>
      </w:pPr>
      <w:r>
        <w:t>ما المعايير التي تميز الحلقة الحقيقية من التناظر المصنوع؟</w:t>
      </w:r>
    </w:p>
    <w:p>
      <w:pPr>
        <w:spacing w:line="283" w:lineRule="auto" w:after="80"/>
        <w:ind w:firstLine="397"/>
        <w:jc w:val="both"/>
        <w:bidi/>
      </w:pPr>
      <w:r>
        <w:t>المسار المقترح: اختبارات عمياء وفرضيات عشوائية للمقارنة.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4: المطلع والخاتمة</w:t>
      </w:r>
    </w:p>
    <w:p>
      <w:pPr>
        <w:spacing w:line="283" w:lineRule="auto" w:after="80"/>
        <w:ind w:firstLine="397"/>
        <w:jc w:val="both"/>
        <w:bidi/>
      </w:pPr>
      <w:r>
        <w:t>كم مرة تحملان فعلاً بنيةً إطاريةً للسورة؟</w:t>
      </w:r>
    </w:p>
    <w:p>
      <w:pPr>
        <w:spacing w:line="283" w:lineRule="auto" w:after="80"/>
        <w:ind w:firstLine="397"/>
        <w:jc w:val="both"/>
        <w:bidi/>
      </w:pPr>
      <w:r>
        <w:t>المسار المقترح: مدونة لجميع السور وتوصيف أنواع الاتصال.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5: أسماء السور</w:t>
      </w:r>
    </w:p>
    <w:p>
      <w:pPr>
        <w:spacing w:line="283" w:lineRule="auto" w:after="80"/>
        <w:ind w:firstLine="397"/>
        <w:jc w:val="both"/>
        <w:bidi/>
      </w:pPr>
      <w:r>
        <w:t>ما مقدار علاقتها بالمحور أو العقدة أو المثال؟</w:t>
      </w:r>
    </w:p>
    <w:p>
      <w:pPr>
        <w:spacing w:line="283" w:lineRule="auto" w:after="80"/>
        <w:ind w:firstLine="397"/>
        <w:jc w:val="both"/>
        <w:bidi/>
      </w:pPr>
      <w:r>
        <w:t>المسار المقترح: مقارنة الأسماء التاريخية ومواقع ألفاظها ووظائفها.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6: السور الطويلة</w:t>
      </w:r>
    </w:p>
    <w:p>
      <w:pPr>
        <w:spacing w:line="283" w:lineRule="auto" w:after="80"/>
        <w:ind w:firstLine="397"/>
        <w:jc w:val="both"/>
        <w:bidi/>
      </w:pPr>
      <w:r>
        <w:t>هل تحتاج إلى نماذج هرمية متعددة المستويات بدلاً من محور مفرد؟</w:t>
      </w:r>
    </w:p>
    <w:p>
      <w:pPr>
        <w:spacing w:line="283" w:lineRule="auto" w:after="80"/>
        <w:ind w:firstLine="397"/>
        <w:jc w:val="both"/>
        <w:bidi/>
      </w:pPr>
      <w:r>
        <w:t>المسار المقترح: خرائط مقاطع كبرى وفرعية وعلاقاتها.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7: السور القصيرة</w:t>
      </w:r>
    </w:p>
    <w:p>
      <w:pPr>
        <w:spacing w:line="283" w:lineRule="auto" w:after="80"/>
        <w:ind w:firstLine="397"/>
        <w:jc w:val="both"/>
        <w:bidi/>
      </w:pPr>
      <w:r>
        <w:t>هل الإيقاع والتقابل فيها أكثر وزناً من السور الطويلة؟</w:t>
      </w:r>
    </w:p>
    <w:p>
      <w:pPr>
        <w:spacing w:line="283" w:lineRule="auto" w:after="80"/>
        <w:ind w:firstLine="397"/>
        <w:jc w:val="both"/>
        <w:bidi/>
      </w:pPr>
      <w:r>
        <w:t>المسار المقترح: مقارنة كمية وكيفية مع حفظ الدلالة.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8: ترتيب النزول</w:t>
      </w:r>
    </w:p>
    <w:p>
      <w:pPr>
        <w:spacing w:line="283" w:lineRule="auto" w:after="80"/>
        <w:ind w:firstLine="397"/>
        <w:jc w:val="both"/>
        <w:bidi/>
      </w:pPr>
      <w:r>
        <w:t>ما أثر المادة التاريخية الثابتة في تفسير البنية النهائية؟</w:t>
      </w:r>
    </w:p>
    <w:p>
      <w:pPr>
        <w:spacing w:line="283" w:lineRule="auto" w:after="80"/>
        <w:ind w:firstLine="397"/>
        <w:jc w:val="both"/>
        <w:bidi/>
      </w:pPr>
      <w:r>
        <w:t>المسار المقترح: نماذج مزدوجة للتاريخ والتلاوة.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9: اقتران السور</w:t>
      </w:r>
    </w:p>
    <w:p>
      <w:pPr>
        <w:spacing w:line="283" w:lineRule="auto" w:after="80"/>
        <w:ind w:firstLine="397"/>
        <w:jc w:val="both"/>
        <w:bidi/>
      </w:pPr>
      <w:r>
        <w:t>هل توجد علاقات جوار قابلة للتكرار والقياس؟</w:t>
      </w:r>
    </w:p>
    <w:p>
      <w:pPr>
        <w:spacing w:line="283" w:lineRule="auto" w:after="80"/>
        <w:ind w:firstLine="397"/>
        <w:jc w:val="both"/>
        <w:bidi/>
      </w:pPr>
      <w:r>
        <w:t>المسار المقترح: تعريف العلاقات واختبار مجموعات المصحف.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10: الحوسبة</w:t>
      </w:r>
    </w:p>
    <w:p>
      <w:pPr>
        <w:spacing w:line="283" w:lineRule="auto" w:after="80"/>
        <w:ind w:firstLine="397"/>
        <w:jc w:val="both"/>
        <w:bidi/>
      </w:pPr>
      <w:r>
        <w:t>هل تستطيع الخوارزميات اقتراح حدود مقاطع ذات فائدة حقيقية؟</w:t>
      </w:r>
    </w:p>
    <w:p>
      <w:pPr>
        <w:spacing w:line="283" w:lineRule="auto" w:after="80"/>
        <w:ind w:firstLine="397"/>
        <w:jc w:val="both"/>
        <w:bidi/>
      </w:pPr>
      <w:r>
        <w:t>المسار المقترح: مقارنة الاقتراح الآلي بتقسيمات خبراء معللة.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11: التفسير المقارن</w:t>
      </w:r>
    </w:p>
    <w:p>
      <w:pPr>
        <w:spacing w:line="283" w:lineRule="auto" w:after="80"/>
        <w:ind w:firstLine="397"/>
        <w:jc w:val="both"/>
        <w:bidi/>
      </w:pPr>
      <w:r>
        <w:t>كيف تختلف خريطة السورة بين المدارس من غير تغيير النص؟</w:t>
      </w:r>
    </w:p>
    <w:p>
      <w:pPr>
        <w:spacing w:line="283" w:lineRule="auto" w:after="80"/>
        <w:ind w:firstLine="397"/>
        <w:jc w:val="both"/>
        <w:bidi/>
      </w:pPr>
      <w:r>
        <w:t>المسار المقترح: تحليل أثر الافتراضات المذهبية والبلاغية.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pPr>
        <w:pStyle w:val="Heading2"/>
        <w:spacing w:line="283" w:lineRule="auto" w:after="120"/>
        <w:jc w:val="right"/>
        <w:keepNext/>
        <w:bidi/>
      </w:pPr>
      <w:r>
        <w:t>السؤال المفتوح 12: التعليم</w:t>
      </w:r>
    </w:p>
    <w:p>
      <w:pPr>
        <w:spacing w:line="283" w:lineRule="auto" w:after="80"/>
        <w:ind w:firstLine="397"/>
        <w:jc w:val="both"/>
        <w:bidi/>
      </w:pPr>
      <w:r>
        <w:t>كيف يُدرَّس تدبر السورة من غير تلقين محور جاهز؟</w:t>
      </w:r>
    </w:p>
    <w:p>
      <w:pPr>
        <w:spacing w:line="283" w:lineRule="auto" w:after="80"/>
        <w:ind w:firstLine="397"/>
        <w:jc w:val="both"/>
        <w:bidi/>
      </w:pPr>
      <w:r>
        <w:t>المسار المقترح: تمارين بناء فرضيات ومقارنة أدلة وحدود. ويجب أن ينتهي إلى مادة قابلة للمراجعة أو معيار قابل للقياس، لا إلى اختيار انطباعي جديد.</w:t>
      </w:r>
    </w:p>
    <w:p>
      <w:pPr>
        <w:spacing w:line="283" w:lineRule="auto" w:after="80"/>
        <w:ind w:firstLine="397"/>
        <w:jc w:val="both"/>
        <w:bidi/>
      </w:pPr>
      <w:r>
        <w:t>يُربط السؤال بالمدونة السُّورية والمصفوفة الحاسوبية، وتُنشر الحالات التي فشل فيها النموذج مثل الحالات الناجحة؛ لأن نظرية الوحدة تحتاج إلى اختبارات مضادة بقدر حاجتها إلى أمثلة جميلة.</w:t>
      </w:r>
    </w:p>
    <w:p>
      <w:r>
        <w:br w:type="page"/>
      </w:r>
    </w:p>
    <w:p>
      <w:pPr>
        <w:pStyle w:val="Heading1"/>
        <w:spacing w:line="283" w:lineRule="auto" w:after="120"/>
        <w:jc w:val="right"/>
        <w:keepNext/>
        <w:bidi/>
      </w:pPr>
      <w:r>
        <w:t>الملحق النقدي السادس: نماذج الحكم على وحدة السورة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النموذج</w:t>
            </w:r>
          </w:p>
        </w:tc>
        <w:tc>
          <w:tcPr>
            <w:tcW w:type="dxa" w:w="3952"/>
            <w:vAlign w:val="center"/>
          </w:tcPr>
          <w:p>
            <w:pPr>
              <w:spacing w:line="283" w:lineRule="auto" w:after="0"/>
              <w:jc w:val="center"/>
              <w:bidi/>
            </w:pPr>
            <w:r>
              <w:rPr>
                <w:b/>
                <w:sz w:val="18"/>
              </w:rPr>
              <w:t>تعريفه</w:t>
            </w:r>
          </w:p>
        </w:tc>
      </w:tr>
      <w:tr>
        <w:tc>
          <w:tcPr>
            <w:tcW w:type="dxa" w:w="3952"/>
            <w:vAlign w:val="center"/>
          </w:tcPr>
          <w:p>
            <w:pPr>
              <w:spacing w:line="283" w:lineRule="auto" w:after="0"/>
              <w:jc w:val="right"/>
              <w:bidi/>
            </w:pPr>
            <w:r>
              <w:rPr>
                <w:sz w:val="18"/>
              </w:rPr>
              <w:t>وحدة محكمة</w:t>
            </w:r>
          </w:p>
        </w:tc>
        <w:tc>
          <w:tcPr>
            <w:tcW w:type="dxa" w:w="3952"/>
            <w:vAlign w:val="center"/>
          </w:tcPr>
          <w:p>
            <w:pPr>
              <w:spacing w:line="283" w:lineRule="auto" w:after="0"/>
              <w:jc w:val="right"/>
              <w:bidi/>
            </w:pPr>
            <w:r>
              <w:rPr>
                <w:sz w:val="18"/>
              </w:rPr>
              <w:t>تتضافر القرائن على مقاطعها وروابطها ومحورها وتفسر الحالات الحدية بلا تكلف.</w:t>
            </w:r>
          </w:p>
        </w:tc>
      </w:tr>
      <w:tr>
        <w:tc>
          <w:tcPr>
            <w:tcW w:type="dxa" w:w="3952"/>
            <w:vAlign w:val="center"/>
          </w:tcPr>
          <w:p>
            <w:pPr>
              <w:spacing w:line="283" w:lineRule="auto" w:after="0"/>
              <w:jc w:val="right"/>
              <w:bidi/>
            </w:pPr>
            <w:r>
              <w:rPr>
                <w:sz w:val="18"/>
              </w:rPr>
              <w:t>وحدة راجحة</w:t>
            </w:r>
          </w:p>
        </w:tc>
        <w:tc>
          <w:tcPr>
            <w:tcW w:type="dxa" w:w="3952"/>
            <w:vAlign w:val="center"/>
          </w:tcPr>
          <w:p>
            <w:pPr>
              <w:spacing w:line="283" w:lineRule="auto" w:after="0"/>
              <w:jc w:val="right"/>
              <w:bidi/>
            </w:pPr>
            <w:r>
              <w:rPr>
                <w:sz w:val="18"/>
              </w:rPr>
              <w:t>يغلب نموذج على البدائل مع بقاء مواضع محتملة.</w:t>
            </w:r>
          </w:p>
        </w:tc>
      </w:tr>
      <w:tr>
        <w:tc>
          <w:tcPr>
            <w:tcW w:type="dxa" w:w="3952"/>
            <w:vAlign w:val="center"/>
          </w:tcPr>
          <w:p>
            <w:pPr>
              <w:spacing w:line="283" w:lineRule="auto" w:after="0"/>
              <w:jc w:val="right"/>
              <w:bidi/>
            </w:pPr>
            <w:r>
              <w:rPr>
                <w:sz w:val="18"/>
              </w:rPr>
              <w:t>وحدة متعددة المراكز</w:t>
            </w:r>
          </w:p>
        </w:tc>
        <w:tc>
          <w:tcPr>
            <w:tcW w:type="dxa" w:w="3952"/>
            <w:vAlign w:val="center"/>
          </w:tcPr>
          <w:p>
            <w:pPr>
              <w:spacing w:line="283" w:lineRule="auto" w:after="0"/>
              <w:jc w:val="right"/>
              <w:bidi/>
            </w:pPr>
            <w:r>
              <w:rPr>
                <w:sz w:val="18"/>
              </w:rPr>
              <w:t>تثبت روابط قوية بين مجموعات مقاطع مع أكثر من محور منظم.</w:t>
            </w:r>
          </w:p>
        </w:tc>
      </w:tr>
      <w:tr>
        <w:tc>
          <w:tcPr>
            <w:tcW w:type="dxa" w:w="3952"/>
            <w:vAlign w:val="center"/>
          </w:tcPr>
          <w:p>
            <w:pPr>
              <w:spacing w:line="283" w:lineRule="auto" w:after="0"/>
              <w:jc w:val="right"/>
              <w:bidi/>
            </w:pPr>
            <w:r>
              <w:rPr>
                <w:sz w:val="18"/>
              </w:rPr>
              <w:t>وحدة مركبة</w:t>
            </w:r>
          </w:p>
        </w:tc>
        <w:tc>
          <w:tcPr>
            <w:tcW w:type="dxa" w:w="3952"/>
            <w:vAlign w:val="center"/>
          </w:tcPr>
          <w:p>
            <w:pPr>
              <w:spacing w:line="283" w:lineRule="auto" w:after="0"/>
              <w:jc w:val="right"/>
              <w:bidi/>
            </w:pPr>
            <w:r>
              <w:rPr>
                <w:sz w:val="18"/>
              </w:rPr>
              <w:t>تعمل أنماط حجاجية وقصصية ومقصدية في مستويات متداخلة.</w:t>
            </w:r>
          </w:p>
        </w:tc>
      </w:tr>
      <w:tr>
        <w:tc>
          <w:tcPr>
            <w:tcW w:type="dxa" w:w="3952"/>
            <w:vAlign w:val="center"/>
          </w:tcPr>
          <w:p>
            <w:pPr>
              <w:spacing w:line="283" w:lineRule="auto" w:after="0"/>
              <w:jc w:val="right"/>
              <w:bidi/>
            </w:pPr>
            <w:r>
              <w:rPr>
                <w:sz w:val="18"/>
              </w:rPr>
              <w:t>وحدة خطية</w:t>
            </w:r>
          </w:p>
        </w:tc>
        <w:tc>
          <w:tcPr>
            <w:tcW w:type="dxa" w:w="3952"/>
            <w:vAlign w:val="center"/>
          </w:tcPr>
          <w:p>
            <w:pPr>
              <w:spacing w:line="283" w:lineRule="auto" w:after="0"/>
              <w:jc w:val="right"/>
              <w:bidi/>
            </w:pPr>
            <w:r>
              <w:rPr>
                <w:sz w:val="18"/>
              </w:rPr>
              <w:t>يتطور الخطاب في مسار متتابع واضح.</w:t>
            </w:r>
          </w:p>
        </w:tc>
      </w:tr>
      <w:tr>
        <w:tc>
          <w:tcPr>
            <w:tcW w:type="dxa" w:w="3952"/>
            <w:vAlign w:val="center"/>
          </w:tcPr>
          <w:p>
            <w:pPr>
              <w:spacing w:line="283" w:lineRule="auto" w:after="0"/>
              <w:jc w:val="right"/>
              <w:bidi/>
            </w:pPr>
            <w:r>
              <w:rPr>
                <w:sz w:val="18"/>
              </w:rPr>
              <w:t>وحدة حلقية راجحة</w:t>
            </w:r>
          </w:p>
        </w:tc>
        <w:tc>
          <w:tcPr>
            <w:tcW w:type="dxa" w:w="3952"/>
            <w:vAlign w:val="center"/>
          </w:tcPr>
          <w:p>
            <w:pPr>
              <w:spacing w:line="283" w:lineRule="auto" w:after="0"/>
              <w:jc w:val="right"/>
              <w:bidi/>
            </w:pPr>
            <w:r>
              <w:rPr>
                <w:sz w:val="18"/>
              </w:rPr>
              <w:t>تثبت العودة والتقابل بقرائن متعددة لا بالتناظر العددي وحده.</w:t>
            </w:r>
          </w:p>
        </w:tc>
      </w:tr>
      <w:tr>
        <w:tc>
          <w:tcPr>
            <w:tcW w:type="dxa" w:w="3952"/>
            <w:vAlign w:val="center"/>
          </w:tcPr>
          <w:p>
            <w:pPr>
              <w:spacing w:line="283" w:lineRule="auto" w:after="0"/>
              <w:jc w:val="right"/>
              <w:bidi/>
            </w:pPr>
            <w:r>
              <w:rPr>
                <w:sz w:val="18"/>
              </w:rPr>
              <w:t>وحدة مقطعية</w:t>
            </w:r>
          </w:p>
        </w:tc>
        <w:tc>
          <w:tcPr>
            <w:tcW w:type="dxa" w:w="3952"/>
            <w:vAlign w:val="center"/>
          </w:tcPr>
          <w:p>
            <w:pPr>
              <w:spacing w:line="283" w:lineRule="auto" w:after="0"/>
              <w:jc w:val="right"/>
              <w:bidi/>
            </w:pPr>
            <w:r>
              <w:rPr>
                <w:sz w:val="18"/>
              </w:rPr>
              <w:t>تثبت المقاطع بوضوح بينما يبقى المحور الكلي محتملاً.</w:t>
            </w:r>
          </w:p>
        </w:tc>
      </w:tr>
      <w:tr>
        <w:tc>
          <w:tcPr>
            <w:tcW w:type="dxa" w:w="3952"/>
            <w:vAlign w:val="center"/>
          </w:tcPr>
          <w:p>
            <w:pPr>
              <w:spacing w:line="283" w:lineRule="auto" w:after="0"/>
              <w:jc w:val="right"/>
              <w:bidi/>
            </w:pPr>
            <w:r>
              <w:rPr>
                <w:sz w:val="18"/>
              </w:rPr>
              <w:t>محور راجح وحدود مقاطع مختلفة</w:t>
            </w:r>
          </w:p>
        </w:tc>
        <w:tc>
          <w:tcPr>
            <w:tcW w:type="dxa" w:w="3952"/>
            <w:vAlign w:val="center"/>
          </w:tcPr>
          <w:p>
            <w:pPr>
              <w:spacing w:line="283" w:lineRule="auto" w:after="0"/>
              <w:jc w:val="right"/>
              <w:bidi/>
            </w:pPr>
            <w:r>
              <w:rPr>
                <w:sz w:val="18"/>
              </w:rPr>
              <w:t>يتفق المعنى التنظيمي مع اختلاف مشروع في التقسيم.</w:t>
            </w:r>
          </w:p>
        </w:tc>
      </w:tr>
      <w:tr>
        <w:tc>
          <w:tcPr>
            <w:tcW w:type="dxa" w:w="3952"/>
            <w:vAlign w:val="center"/>
          </w:tcPr>
          <w:p>
            <w:pPr>
              <w:spacing w:line="283" w:lineRule="auto" w:after="0"/>
              <w:jc w:val="right"/>
              <w:bidi/>
            </w:pPr>
            <w:r>
              <w:rPr>
                <w:sz w:val="18"/>
              </w:rPr>
              <w:t>تقسيم راجح ومحور متوقف فيه</w:t>
            </w:r>
          </w:p>
        </w:tc>
        <w:tc>
          <w:tcPr>
            <w:tcW w:type="dxa" w:w="3952"/>
            <w:vAlign w:val="center"/>
          </w:tcPr>
          <w:p>
            <w:pPr>
              <w:spacing w:line="283" w:lineRule="auto" w:after="0"/>
              <w:jc w:val="right"/>
              <w:bidi/>
            </w:pPr>
            <w:r>
              <w:rPr>
                <w:sz w:val="18"/>
              </w:rPr>
              <w:t>تثبت بنية المقاطع ولا يكفي الدليل لعنوان جامع.</w:t>
            </w:r>
          </w:p>
        </w:tc>
      </w:tr>
      <w:tr>
        <w:tc>
          <w:tcPr>
            <w:tcW w:type="dxa" w:w="3952"/>
            <w:vAlign w:val="center"/>
          </w:tcPr>
          <w:p>
            <w:pPr>
              <w:spacing w:line="283" w:lineRule="auto" w:after="0"/>
              <w:jc w:val="right"/>
              <w:bidi/>
            </w:pPr>
            <w:r>
              <w:rPr>
                <w:sz w:val="18"/>
              </w:rPr>
              <w:t>وحدة استكشافية</w:t>
            </w:r>
          </w:p>
        </w:tc>
        <w:tc>
          <w:tcPr>
            <w:tcW w:type="dxa" w:w="3952"/>
            <w:vAlign w:val="center"/>
          </w:tcPr>
          <w:p>
            <w:pPr>
              <w:spacing w:line="283" w:lineRule="auto" w:after="0"/>
              <w:jc w:val="right"/>
              <w:bidi/>
            </w:pPr>
            <w:r>
              <w:rPr>
                <w:sz w:val="18"/>
              </w:rPr>
              <w:t>نموذج واعد يحتاج إلى اختبار سور أو قرائن إضافية.</w:t>
            </w:r>
          </w:p>
        </w:tc>
      </w:tr>
      <w:tr>
        <w:tc>
          <w:tcPr>
            <w:tcW w:type="dxa" w:w="3952"/>
            <w:vAlign w:val="center"/>
          </w:tcPr>
          <w:p>
            <w:pPr>
              <w:spacing w:line="283" w:lineRule="auto" w:after="0"/>
              <w:jc w:val="right"/>
              <w:bidi/>
            </w:pPr>
            <w:r>
              <w:rPr>
                <w:sz w:val="18"/>
              </w:rPr>
              <w:t>نماذج متعارضة</w:t>
            </w:r>
          </w:p>
        </w:tc>
        <w:tc>
          <w:tcPr>
            <w:tcW w:type="dxa" w:w="3952"/>
            <w:vAlign w:val="center"/>
          </w:tcPr>
          <w:p>
            <w:pPr>
              <w:spacing w:line="283" w:lineRule="auto" w:after="0"/>
              <w:jc w:val="right"/>
              <w:bidi/>
            </w:pPr>
            <w:r>
              <w:rPr>
                <w:sz w:val="18"/>
              </w:rPr>
              <w:t>تتقارب قراءتان في القوة ولا يصح القطع بإحداهما.</w:t>
            </w:r>
          </w:p>
        </w:tc>
      </w:tr>
      <w:tr>
        <w:tc>
          <w:tcPr>
            <w:tcW w:type="dxa" w:w="3952"/>
            <w:vAlign w:val="center"/>
          </w:tcPr>
          <w:p>
            <w:pPr>
              <w:spacing w:line="283" w:lineRule="auto" w:after="0"/>
              <w:jc w:val="right"/>
              <w:bidi/>
            </w:pPr>
            <w:r>
              <w:rPr>
                <w:sz w:val="18"/>
              </w:rPr>
              <w:t>فرضية مرفوضة</w:t>
            </w:r>
          </w:p>
        </w:tc>
        <w:tc>
          <w:tcPr>
            <w:tcW w:type="dxa" w:w="3952"/>
            <w:vAlign w:val="center"/>
          </w:tcPr>
          <w:p>
            <w:pPr>
              <w:spacing w:line="283" w:lineRule="auto" w:after="0"/>
              <w:jc w:val="right"/>
              <w:bidi/>
            </w:pPr>
            <w:r>
              <w:rPr>
                <w:sz w:val="18"/>
              </w:rPr>
              <w:t>تفشل في مقاطع أساسية أو تحتاج إلى إخسار دلالات ثابتة.</w:t>
            </w:r>
          </w:p>
        </w:tc>
      </w:tr>
    </w:tbl>
    <w:p/>
    <w:p>
      <w:pPr>
        <w:pStyle w:val="Heading2"/>
        <w:spacing w:line="283" w:lineRule="auto" w:after="120"/>
        <w:jc w:val="right"/>
        <w:keepNext/>
        <w:bidi/>
      </w:pPr>
      <w:r>
        <w:t>وحدة محكمة</w:t>
      </w:r>
    </w:p>
    <w:p>
      <w:pPr>
        <w:spacing w:line="283" w:lineRule="auto" w:after="80"/>
        <w:ind w:firstLine="397"/>
        <w:jc w:val="both"/>
        <w:bidi/>
      </w:pPr>
      <w:r>
        <w:t>تتضافر القرائن على مقاطعها وروابطها ومحورها وتفسر الحالات الحدية بلا تكلف.</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وحدة راجحة</w:t>
      </w:r>
    </w:p>
    <w:p>
      <w:pPr>
        <w:spacing w:line="283" w:lineRule="auto" w:after="80"/>
        <w:ind w:firstLine="397"/>
        <w:jc w:val="both"/>
        <w:bidi/>
      </w:pPr>
      <w:r>
        <w:t>يغلب نموذج على البدائل مع بقاء مواضع محتملة.</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وحدة متعددة المراكز</w:t>
      </w:r>
    </w:p>
    <w:p>
      <w:pPr>
        <w:spacing w:line="283" w:lineRule="auto" w:after="80"/>
        <w:ind w:firstLine="397"/>
        <w:jc w:val="both"/>
        <w:bidi/>
      </w:pPr>
      <w:r>
        <w:t>تثبت روابط قوية بين مجموعات مقاطع مع أكثر من محور منظم.</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وحدة مركبة</w:t>
      </w:r>
    </w:p>
    <w:p>
      <w:pPr>
        <w:spacing w:line="283" w:lineRule="auto" w:after="80"/>
        <w:ind w:firstLine="397"/>
        <w:jc w:val="both"/>
        <w:bidi/>
      </w:pPr>
      <w:r>
        <w:t>تعمل أنماط حجاجية وقصصية ومقصدية في مستويات متداخلة.</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وحدة خطية</w:t>
      </w:r>
    </w:p>
    <w:p>
      <w:pPr>
        <w:spacing w:line="283" w:lineRule="auto" w:after="80"/>
        <w:ind w:firstLine="397"/>
        <w:jc w:val="both"/>
        <w:bidi/>
      </w:pPr>
      <w:r>
        <w:t>يتطور الخطاب في مسار متتابع واضح.</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وحدة حلقية راجحة</w:t>
      </w:r>
    </w:p>
    <w:p>
      <w:pPr>
        <w:spacing w:line="283" w:lineRule="auto" w:after="80"/>
        <w:ind w:firstLine="397"/>
        <w:jc w:val="both"/>
        <w:bidi/>
      </w:pPr>
      <w:r>
        <w:t>تثبت العودة والتقابل بقرائن متعددة لا بالتناظر العددي وحده.</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وحدة مقطعية</w:t>
      </w:r>
    </w:p>
    <w:p>
      <w:pPr>
        <w:spacing w:line="283" w:lineRule="auto" w:after="80"/>
        <w:ind w:firstLine="397"/>
        <w:jc w:val="both"/>
        <w:bidi/>
      </w:pPr>
      <w:r>
        <w:t>تثبت المقاطع بوضوح بينما يبقى المحور الكلي محتملاً.</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محور راجح وحدود مقاطع مختلفة</w:t>
      </w:r>
    </w:p>
    <w:p>
      <w:pPr>
        <w:spacing w:line="283" w:lineRule="auto" w:after="80"/>
        <w:ind w:firstLine="397"/>
        <w:jc w:val="both"/>
        <w:bidi/>
      </w:pPr>
      <w:r>
        <w:t>يتفق المعنى التنظيمي مع اختلاف مشروع في التقسيم.</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تقسيم راجح ومحور متوقف فيه</w:t>
      </w:r>
    </w:p>
    <w:p>
      <w:pPr>
        <w:spacing w:line="283" w:lineRule="auto" w:after="80"/>
        <w:ind w:firstLine="397"/>
        <w:jc w:val="both"/>
        <w:bidi/>
      </w:pPr>
      <w:r>
        <w:t>تثبت بنية المقاطع ولا يكفي الدليل لعنوان جامع.</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وحدة استكشافية</w:t>
      </w:r>
    </w:p>
    <w:p>
      <w:pPr>
        <w:spacing w:line="283" w:lineRule="auto" w:after="80"/>
        <w:ind w:firstLine="397"/>
        <w:jc w:val="both"/>
        <w:bidi/>
      </w:pPr>
      <w:r>
        <w:t>نموذج واعد يحتاج إلى اختبار سور أو قرائن إضافية.</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نماذج متعارضة</w:t>
      </w:r>
    </w:p>
    <w:p>
      <w:pPr>
        <w:spacing w:line="283" w:lineRule="auto" w:after="80"/>
        <w:ind w:firstLine="397"/>
        <w:jc w:val="both"/>
        <w:bidi/>
      </w:pPr>
      <w:r>
        <w:t>تتقارب قراءتان في القوة ولا يصح القطع بإحداهما.</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pPr>
        <w:pStyle w:val="Heading2"/>
        <w:spacing w:line="283" w:lineRule="auto" w:after="120"/>
        <w:jc w:val="right"/>
        <w:keepNext/>
        <w:bidi/>
      </w:pPr>
      <w:r>
        <w:t>فرضية مرفوضة</w:t>
      </w:r>
    </w:p>
    <w:p>
      <w:pPr>
        <w:spacing w:line="283" w:lineRule="auto" w:after="80"/>
        <w:ind w:firstLine="397"/>
        <w:jc w:val="both"/>
        <w:bidi/>
      </w:pPr>
      <w:r>
        <w:t>تفشل في مقاطع أساسية أو تحتاج إلى إخسار دلالات ثابتة.</w:t>
      </w:r>
    </w:p>
    <w:p>
      <w:pPr>
        <w:spacing w:line="283" w:lineRule="auto" w:after="80"/>
        <w:ind w:firstLine="397"/>
        <w:jc w:val="both"/>
        <w:bidi/>
      </w:pPr>
      <w:r>
        <w:t>يجب أن تذكر الدراسة الأدلة المؤيدة والنافية ومقدار تغطية النموذج للسورة، وأن تفصل حكمها على المقاطع من حكمها على المحور الكلي. وبذلك لا يؤدي ضعف عنوان واحد إلى رد جميع الملاحظات البنيوية الصحيحة.</w:t>
      </w:r>
    </w:p>
    <w:p>
      <w:pPr>
        <w:spacing w:line="283" w:lineRule="auto" w:after="80"/>
        <w:ind w:firstLine="397"/>
        <w:jc w:val="both"/>
        <w:bidi/>
      </w:pPr>
      <w:r>
        <w:t>يُسمح بتعديل النموذج من إصدار إلى آخر مع حفظ التاريخ، لأن وحدة السورة علم اجتهادي في البنية، لا جزء من النص المنزل نفسه.</w:t>
      </w:r>
    </w:p>
    <w:p>
      <w:r>
        <w:br w:type="page"/>
      </w:r>
    </w:p>
    <w:p>
      <w:pPr>
        <w:pStyle w:val="Heading1"/>
        <w:spacing w:line="283" w:lineRule="auto" w:after="120"/>
        <w:jc w:val="right"/>
        <w:keepNext/>
        <w:bidi/>
      </w:pPr>
      <w:r>
        <w:t>الخاتمة النقدية للكتاب</w:t>
      </w:r>
    </w:p>
    <w:p>
      <w:pPr>
        <w:spacing w:line="283" w:lineRule="auto" w:after="80"/>
        <w:ind w:firstLine="397"/>
        <w:jc w:val="both"/>
        <w:bidi/>
      </w:pPr>
      <w:r>
        <w:t>تُكمل هذه الملاحق نظرية الوحدة السُّورية بتحديد القرائن التي يسهل تضخيمها: اسم السورة، والمطلع، والخاتمة، وترتيب النزول، وعلاقة الجوار. وكل واحدة منها قد تكون نافعةً إذا عملت في حدودها، ومضللةً إذا تحولت إلى مفتاح سابق على النص.</w:t>
      </w:r>
    </w:p>
    <w:p>
      <w:pPr>
        <w:spacing w:line="283" w:lineRule="auto" w:after="80"/>
        <w:ind w:firstLine="397"/>
        <w:jc w:val="both"/>
        <w:bidi/>
      </w:pPr>
      <w:r>
        <w:t>يصبح معيار النجاح هو قدرة النموذج على تفسير السورة بما فيها من اختلاف لا بإزالة الاختلاف. فالوحدة ليست التجانس؛ قد تتكون من انتقالات وتقابلات وتوترات وحوارات، ويكون انتظام هذه التحولات هو الوحدة نفسها.</w:t>
      </w:r>
    </w:p>
    <w:p>
      <w:pPr>
        <w:spacing w:line="283" w:lineRule="auto" w:after="80"/>
        <w:ind w:firstLine="397"/>
        <w:jc w:val="both"/>
        <w:bidi/>
      </w:pPr>
      <w:r>
        <w:t>كما يظهر أن النظرية تحتاج إلى مدونة لجميع السور لا إلى نماذج منتقاة، لأن الأنماط التي تبدو قويةً في سورة قد لا تعمل في غيرها. وتكون المرحلة اللاحقة من المشروع مناسبةً لبناء هذه المدونة وربطها بكتب تفسير السور المئة والأربعة عشر.</w:t>
      </w:r>
    </w:p>
    <w:p>
      <w:pPr>
        <w:spacing w:line="283" w:lineRule="auto" w:after="80"/>
        <w:ind w:firstLine="397"/>
        <w:jc w:val="both"/>
        <w:bidi/>
      </w:pPr>
      <w:r>
        <w:t>وأخيراً، لا يُقال إن للسورة محوراً لأن الباحث استطاع صياغة جملة تشمل آياتها، بل لأن النص قدّم شبكةً من القرائن تجعل تلك الجملة تفسيراً لأدوار المقاطع لا مجرد عنوان واسع. وبهذا يبقى البيان حاكماً على النموذج، والميزان مانعاً للطغيان والإخسار.</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العاشر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العاشر: نظرية الوحدة السُّورية في القرآن</dc:title>
  <dc:subject>موسوعة علم الأصول النظرية للتفسير البياني</dc:subject>
  <dc:creator>Ibn ʿAbbās al-ʿĀmilī, PhD</dc:creator>
  <cp:keywords>الوحدة السورية، السورة، التفسير البياني، القرآن، منطق البيان</cp:keywords>
  <dc:description>generated by python-docx</dc:description>
  <cp:lastModifiedBy/>
  <cp:revision>1</cp:revision>
  <dcterms:created xsi:type="dcterms:W3CDTF">2013-12-23T23:15:00Z</dcterms:created>
  <dcterms:modified xsi:type="dcterms:W3CDTF">2013-12-23T23:15:00Z</dcterms:modified>
  <cp:category/>
</cp:coreProperties>
</file>