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السادس عشر</w:t>
      </w:r>
    </w:p>
    <w:p>
      <w:pPr>
        <w:spacing w:line="283" w:lineRule="auto" w:after="80" w:before="0"/>
        <w:jc w:val="center"/>
        <w:bidi/>
      </w:pPr>
      <w:r>
        <w:rPr>
          <w:b/>
          <w:sz w:val="44"/>
        </w:rPr>
        <w:t>القرآن والقراءات وأثرها في البيان والتفسير</w:t>
      </w:r>
    </w:p>
    <w:p>
      <w:pPr>
        <w:spacing w:line="283" w:lineRule="auto" w:after="80" w:before="0"/>
        <w:jc w:val="center"/>
        <w:bidi/>
      </w:pPr>
      <w:r>
        <w:rPr>
          <w:b w:val="0"/>
          <w:sz w:val="28"/>
        </w:rPr>
        <w:t>نظرية تعدد الأداء ووحدة النص ومراتب الدلالة والترجيح</w:t>
      </w:r>
    </w:p>
    <w:p>
      <w:pPr>
        <w:spacing w:line="283" w:lineRule="auto" w:after="80" w:before="840"/>
        <w:jc w:val="center"/>
        <w:bidi/>
      </w:pPr>
      <w: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للقراءات داخل علم الأصول النظرية للتفسير البياني، فلا يعالج القراءات بوصفها باباً صوتياً أو تاريخياً منفصلاً عن التفسير، ولا بوصفها نصوصاً متنافسةً مستقلة، بل بوصفها أوجهاً ثابتةً أو منقولةً للأداء القرآني يجب تحديد مرتبتها وثبوتها ووظيفتها وأثرها في البيان. ويبدأ السؤال من وحدة القرآن المنزل، ثم ينتقل إلى تعدد الأداء واللفظ والرسم والنقل، حتى لا يطغى اختلاف القراءة على وحدة الكتاب ولا تُمحى الدلالات التي يضيفها الاختلاف الثابت.</w:t>
      </w:r>
    </w:p>
    <w:p>
      <w:pPr>
        <w:spacing w:line="283" w:lineRule="auto" w:after="80"/>
        <w:ind w:firstLine="397"/>
        <w:jc w:val="both"/>
        <w:bidi/>
      </w:pPr>
      <w:r>
        <w:t>يفصل الكتاب بين القرآن بوصفه الوحي المنزل، والمصحف بوصفه الرسم المادي المدوَّن، والقراءة بوصفها وجهاً في الأداء أو اللفظ منقولاً في طريق محدد، والرواية والطريق والوجه بوصفها طبقات في علم القراءات. ويمنع الخلط بين هذه المستويات؛ فوجود وجه في كتاب قراءات لا يساوي ثبوته القرآني، كما أن ثبوت القراءة لا يعني أن كل توجيه نحوي أو فقهي بُني عليها هو المراد الوحيد.</w:t>
      </w:r>
    </w:p>
    <w:p>
      <w:pPr>
        <w:spacing w:line="283" w:lineRule="auto" w:after="80"/>
        <w:ind w:firstLine="397"/>
        <w:jc w:val="both"/>
        <w:bidi/>
      </w:pPr>
      <w:r>
        <w:t>يحرر الكتاب معايير الثبوت من جهة النقل والرسم والعربية والتلقي، ثم يعيد ترتيبها في ضوء حاكمية القرآن ومنطق البيان. فلا يكون الرسم وحده منشئاً للقراءة، ولا موافقة العربية مصححةً لطريق لم يثبت، ولا الشهرة المتأخرة بديلاً عن تاريخ التلقي، كما لا تُختزل القراءة الثابتة في شاهد نحوي أو أداة ترجيح مذهبي.</w:t>
      </w:r>
    </w:p>
    <w:p>
      <w:pPr>
        <w:spacing w:line="283" w:lineRule="auto" w:after="80"/>
        <w:ind w:firstLine="397"/>
        <w:jc w:val="both"/>
        <w:bidi/>
      </w:pPr>
      <w:r>
        <w:t>تنقسم آثار القراءات في البيان إلى آثار صوتية وصرفية ونحوية ومعجمية وتركيبية وإحالية ومفهومية وسياقية وتشريعية وحجاجية وقصصية. وقد تؤدي القراءتان معنىً واحداً بأداءين، أو توسع إحداهما مجال الدلالة، أو تكشف علاقةً نحويةً، أو تقيد احتمالاً، أو تفتح وجهاً تفسيرياً إضافياً. ولا يفترض الكتاب أن كل اختلاف قراءة ينتج اختلاف معنى، ولا أن كل اختلاف معنى ينتج تعارضاً.</w:t>
      </w:r>
    </w:p>
    <w:p>
      <w:pPr>
        <w:spacing w:line="283" w:lineRule="auto" w:after="80"/>
        <w:ind w:firstLine="397"/>
        <w:jc w:val="both"/>
        <w:bidi/>
      </w:pPr>
      <w:r>
        <w:t>يضع الكتاب ميزاناً للجمع بين القراءات الثابتة يبدأ باختبار إمكان التكامل قبل ادعاء التعارض، ثم يميز اختلاف التنوع من اختلاف التغاير ومن اختلاف التضاد الظاهري. فإذا أمكن حمل القراءات على وجوه متكاملة داخل السياق والشبكة قُبل الجمع بقرينة، وإذا تعذر وجب تحديد محل الاختلاف ودرجة كل وجه ومجاله، مع منع اختراع توافق لا يحتمله اللسان.</w:t>
      </w:r>
    </w:p>
    <w:p>
      <w:pPr>
        <w:spacing w:line="283" w:lineRule="auto" w:after="80"/>
        <w:ind w:firstLine="397"/>
        <w:jc w:val="both"/>
        <w:bidi/>
      </w:pPr>
      <w:r>
        <w:t>يفتح الكتاب ملف القراءات غير المتواترة أو الشاذة من جهة قيمتها التاريخية واللغوية والتفسيرية، ويفصل بين كونها قرآناً متعبداً بتلاوته وبين كونها أثراً مبكراً قد يشهد لتفسير أو لهجة أو توجيه. ولا تُسقط هذه المادة كلها ولا ترفع كلها إلى مرتبة واحدة، بل تُقوَّم بحسب الطريق والوظيفة والسياق.</w:t>
      </w:r>
    </w:p>
    <w:p>
      <w:pPr>
        <w:spacing w:line="283" w:lineRule="auto" w:after="80"/>
        <w:ind w:firstLine="397"/>
        <w:jc w:val="both"/>
        <w:bidi/>
      </w:pPr>
      <w:r>
        <w:t>تُختبر النظرية على نماذج كبرى مثل ﴿مَالِكِ يَوْمِ الدِّينِ﴾ و﴿مَلِكِ يَوْمِ الدِّينِ﴾، و﴿فَتَبَيَّنُوا﴾ وقراءة ﴿فَتَثَبَّتُوا﴾، ومواضع المطهَّرون والمطهِّرون، والنصب والرفع والجر، والإفراد والجمع، والبناء للفاعل والمفعول، مع بيان ما يثبت من الأثر وما لا يثبت. والغاية بناء منهج قابل للتكرار لا جمع طرائف القراءات.</w:t>
      </w:r>
    </w:p>
    <w:p>
      <w:pPr>
        <w:spacing w:line="283" w:lineRule="auto" w:after="80"/>
        <w:ind w:firstLine="397"/>
        <w:jc w:val="both"/>
        <w:bidi/>
      </w:pPr>
      <w:r>
        <w:t>ينتهي الكتاب إلى أن القراءات الثابتة جزء من البيان القرآني المتلقى، وأن التفسير البياني يجب أن يدمجها في المدونة والسياق والشبكات والمحكم والمتشابه من غير جعل التعدد نصوصاً منفصلة أو سلطةً فوق القرآن. كما ينتهي إلى ضرورة بناء مدونة قراءات حاسوبية تربط كل قراءة بموضعها وطريقها ورسمها وتوجيهها ودرجة ثبوتها وأثرها التفسيري وإصدارها العلمي.</w:t>
      </w:r>
    </w:p>
    <w:p>
      <w:pPr>
        <w:pStyle w:val="Heading2"/>
        <w:spacing w:line="283" w:lineRule="auto" w:after="120"/>
        <w:jc w:val="right"/>
        <w:keepNext/>
        <w:bidi/>
      </w:pPr>
      <w:r>
        <w:t>المعادلة الحاكمة</w:t>
      </w:r>
    </w:p>
    <w:p>
      <w:pPr>
        <w:spacing w:line="283" w:lineRule="auto" w:after="80"/>
        <w:ind w:firstLine="397"/>
        <w:jc w:val="both"/>
        <w:bidi/>
      </w:pPr>
      <w:r>
        <w:t>القرآن المنزل الواحد ← والرسم العثماني ← والقراءة المنقولة ← والرواية والطريق والوجه ← والتحقق من الثبوت ← وتحليل الأداء واللغة ← وتحديد الأثر الدلالي ← وإدماج القراءة في السياق والسورة والشبكة ← والجمع أو الترجيح أو التوقف ← وصياغة النتيجة التفسيرية بدرجتها وحدودها.</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الرقم</w:t>
            </w:r>
          </w:p>
        </w:tc>
        <w:tc>
          <w:tcPr>
            <w:tcW w:type="dxa" w:w="3952"/>
            <w:vAlign w:val="center"/>
          </w:tcPr>
          <w:p>
            <w:pPr>
              <w:spacing w:line="283" w:lineRule="auto" w:after="0"/>
              <w:jc w:val="center"/>
              <w:bidi/>
            </w:pPr>
            <w:r>
              <w:rPr>
                <w:b/>
                <w:sz w:val="19"/>
              </w:rPr>
              <w:t>العنوان</w:t>
            </w:r>
          </w:p>
        </w:tc>
      </w:tr>
      <w:tr>
        <w:trPr>
          <w:cantSplit/>
        </w:trPr>
        <w:tc>
          <w:tcPr>
            <w:tcW w:type="dxa" w:w="3952"/>
            <w:vAlign w:val="center"/>
          </w:tcPr>
          <w:p>
            <w:pPr>
              <w:spacing w:line="283" w:lineRule="auto" w:after="0"/>
              <w:jc w:val="right"/>
              <w:bidi/>
            </w:pPr>
            <w:r>
              <w:rPr>
                <w:sz w:val="19"/>
              </w:rPr>
              <w:t>الباب الأول</w:t>
            </w:r>
          </w:p>
        </w:tc>
        <w:tc>
          <w:tcPr>
            <w:tcW w:type="dxa" w:w="3952"/>
            <w:vAlign w:val="center"/>
          </w:tcPr>
          <w:p>
            <w:pPr>
              <w:spacing w:line="283" w:lineRule="auto" w:after="0"/>
              <w:jc w:val="right"/>
              <w:bidi/>
            </w:pPr>
            <w:r>
              <w:rPr>
                <w:sz w:val="19"/>
              </w:rPr>
              <w:t>ماهية القراءات وموقعها من علم التفسير البياني</w:t>
            </w:r>
          </w:p>
        </w:tc>
      </w:tr>
      <w:tr>
        <w:trPr>
          <w:cantSplit/>
        </w:trPr>
        <w:tc>
          <w:tcPr>
            <w:tcW w:type="dxa" w:w="3952"/>
            <w:vAlign w:val="center"/>
          </w:tcPr>
          <w:p>
            <w:pPr>
              <w:spacing w:line="283" w:lineRule="auto" w:after="0"/>
              <w:jc w:val="right"/>
              <w:bidi/>
            </w:pPr>
            <w:r>
              <w:rPr>
                <w:sz w:val="19"/>
              </w:rPr>
              <w:t>الباب الثاني</w:t>
            </w:r>
          </w:p>
        </w:tc>
        <w:tc>
          <w:tcPr>
            <w:tcW w:type="dxa" w:w="3952"/>
            <w:vAlign w:val="center"/>
          </w:tcPr>
          <w:p>
            <w:pPr>
              <w:spacing w:line="283" w:lineRule="auto" w:after="0"/>
              <w:jc w:val="right"/>
              <w:bidi/>
            </w:pPr>
            <w:r>
              <w:rPr>
                <w:sz w:val="19"/>
              </w:rPr>
              <w:t>القرآن والمصحف والقراءة والرواية والطريق والوجه</w:t>
            </w:r>
          </w:p>
        </w:tc>
      </w:tr>
      <w:tr>
        <w:trPr>
          <w:cantSplit/>
        </w:trPr>
        <w:tc>
          <w:tcPr>
            <w:tcW w:type="dxa" w:w="3952"/>
            <w:vAlign w:val="center"/>
          </w:tcPr>
          <w:p>
            <w:pPr>
              <w:spacing w:line="283" w:lineRule="auto" w:after="0"/>
              <w:jc w:val="right"/>
              <w:bidi/>
            </w:pPr>
            <w:r>
              <w:rPr>
                <w:sz w:val="19"/>
              </w:rPr>
              <w:t>الباب الثالث</w:t>
            </w:r>
          </w:p>
        </w:tc>
        <w:tc>
          <w:tcPr>
            <w:tcW w:type="dxa" w:w="3952"/>
            <w:vAlign w:val="center"/>
          </w:tcPr>
          <w:p>
            <w:pPr>
              <w:spacing w:line="283" w:lineRule="auto" w:after="0"/>
              <w:jc w:val="right"/>
              <w:bidi/>
            </w:pPr>
            <w:r>
              <w:rPr>
                <w:sz w:val="19"/>
              </w:rPr>
              <w:t>نشأة علم القراءات وتاريخ التلقي والتدوين</w:t>
            </w:r>
          </w:p>
        </w:tc>
      </w:tr>
      <w:tr>
        <w:trPr>
          <w:cantSplit/>
        </w:trPr>
        <w:tc>
          <w:tcPr>
            <w:tcW w:type="dxa" w:w="3952"/>
            <w:vAlign w:val="center"/>
          </w:tcPr>
          <w:p>
            <w:pPr>
              <w:spacing w:line="283" w:lineRule="auto" w:after="0"/>
              <w:jc w:val="right"/>
              <w:bidi/>
            </w:pPr>
            <w:r>
              <w:rPr>
                <w:sz w:val="19"/>
              </w:rPr>
              <w:t>الباب الرابع</w:t>
            </w:r>
          </w:p>
        </w:tc>
        <w:tc>
          <w:tcPr>
            <w:tcW w:type="dxa" w:w="3952"/>
            <w:vAlign w:val="center"/>
          </w:tcPr>
          <w:p>
            <w:pPr>
              <w:spacing w:line="283" w:lineRule="auto" w:after="0"/>
              <w:jc w:val="right"/>
              <w:bidi/>
            </w:pPr>
            <w:r>
              <w:rPr>
                <w:sz w:val="19"/>
              </w:rPr>
              <w:t>معايير ثبوت القراءة: النقل والرسم والعربية والتلقي</w:t>
            </w:r>
          </w:p>
        </w:tc>
      </w:tr>
      <w:tr>
        <w:trPr>
          <w:cantSplit/>
        </w:trPr>
        <w:tc>
          <w:tcPr>
            <w:tcW w:type="dxa" w:w="3952"/>
            <w:vAlign w:val="center"/>
          </w:tcPr>
          <w:p>
            <w:pPr>
              <w:spacing w:line="283" w:lineRule="auto" w:after="0"/>
              <w:jc w:val="right"/>
              <w:bidi/>
            </w:pPr>
            <w:r>
              <w:rPr>
                <w:sz w:val="19"/>
              </w:rPr>
              <w:t>الباب الخامس</w:t>
            </w:r>
          </w:p>
        </w:tc>
        <w:tc>
          <w:tcPr>
            <w:tcW w:type="dxa" w:w="3952"/>
            <w:vAlign w:val="center"/>
          </w:tcPr>
          <w:p>
            <w:pPr>
              <w:spacing w:line="283" w:lineRule="auto" w:after="0"/>
              <w:jc w:val="right"/>
              <w:bidi/>
            </w:pPr>
            <w:r>
              <w:rPr>
                <w:sz w:val="19"/>
              </w:rPr>
              <w:t>الرسم العثماني وعلاقته بالقراءات والبيان</w:t>
            </w:r>
          </w:p>
        </w:tc>
      </w:tr>
      <w:tr>
        <w:trPr>
          <w:cantSplit/>
        </w:trPr>
        <w:tc>
          <w:tcPr>
            <w:tcW w:type="dxa" w:w="3952"/>
            <w:vAlign w:val="center"/>
          </w:tcPr>
          <w:p>
            <w:pPr>
              <w:spacing w:line="283" w:lineRule="auto" w:after="0"/>
              <w:jc w:val="right"/>
              <w:bidi/>
            </w:pPr>
            <w:r>
              <w:rPr>
                <w:sz w:val="19"/>
              </w:rPr>
              <w:t>الباب السادس</w:t>
            </w:r>
          </w:p>
        </w:tc>
        <w:tc>
          <w:tcPr>
            <w:tcW w:type="dxa" w:w="3952"/>
            <w:vAlign w:val="center"/>
          </w:tcPr>
          <w:p>
            <w:pPr>
              <w:spacing w:line="283" w:lineRule="auto" w:after="0"/>
              <w:jc w:val="right"/>
              <w:bidi/>
            </w:pPr>
            <w:r>
              <w:rPr>
                <w:sz w:val="19"/>
              </w:rPr>
              <w:t>الأحرف والقراءات وحدود إعادة البناء التاريخي</w:t>
            </w:r>
          </w:p>
        </w:tc>
      </w:tr>
      <w:tr>
        <w:trPr>
          <w:cantSplit/>
        </w:trPr>
        <w:tc>
          <w:tcPr>
            <w:tcW w:type="dxa" w:w="3952"/>
            <w:vAlign w:val="center"/>
          </w:tcPr>
          <w:p>
            <w:pPr>
              <w:spacing w:line="283" w:lineRule="auto" w:after="0"/>
              <w:jc w:val="right"/>
              <w:bidi/>
            </w:pPr>
            <w:r>
              <w:rPr>
                <w:sz w:val="19"/>
              </w:rPr>
              <w:t>الباب السابع</w:t>
            </w:r>
          </w:p>
        </w:tc>
        <w:tc>
          <w:tcPr>
            <w:tcW w:type="dxa" w:w="3952"/>
            <w:vAlign w:val="center"/>
          </w:tcPr>
          <w:p>
            <w:pPr>
              <w:spacing w:line="283" w:lineRule="auto" w:after="0"/>
              <w:jc w:val="right"/>
              <w:bidi/>
            </w:pPr>
            <w:r>
              <w:rPr>
                <w:sz w:val="19"/>
              </w:rPr>
              <w:t>الاختلاف الصوتي والصرفي وأثره في الدلالة</w:t>
            </w:r>
          </w:p>
        </w:tc>
      </w:tr>
      <w:tr>
        <w:trPr>
          <w:cantSplit/>
        </w:trPr>
        <w:tc>
          <w:tcPr>
            <w:tcW w:type="dxa" w:w="3952"/>
            <w:vAlign w:val="center"/>
          </w:tcPr>
          <w:p>
            <w:pPr>
              <w:spacing w:line="283" w:lineRule="auto" w:after="0"/>
              <w:jc w:val="right"/>
              <w:bidi/>
            </w:pPr>
            <w:r>
              <w:rPr>
                <w:sz w:val="19"/>
              </w:rPr>
              <w:t>الباب الثامن</w:t>
            </w:r>
          </w:p>
        </w:tc>
        <w:tc>
          <w:tcPr>
            <w:tcW w:type="dxa" w:w="3952"/>
            <w:vAlign w:val="center"/>
          </w:tcPr>
          <w:p>
            <w:pPr>
              <w:spacing w:line="283" w:lineRule="auto" w:after="0"/>
              <w:jc w:val="right"/>
              <w:bidi/>
            </w:pPr>
            <w:r>
              <w:rPr>
                <w:sz w:val="19"/>
              </w:rPr>
              <w:t>الاختلاف النحوي والتركيبي والإحالي</w:t>
            </w:r>
          </w:p>
        </w:tc>
      </w:tr>
      <w:tr>
        <w:trPr>
          <w:cantSplit/>
        </w:trPr>
        <w:tc>
          <w:tcPr>
            <w:tcW w:type="dxa" w:w="3952"/>
            <w:vAlign w:val="center"/>
          </w:tcPr>
          <w:p>
            <w:pPr>
              <w:spacing w:line="283" w:lineRule="auto" w:after="0"/>
              <w:jc w:val="right"/>
              <w:bidi/>
            </w:pPr>
            <w:r>
              <w:rPr>
                <w:sz w:val="19"/>
              </w:rPr>
              <w:t>الباب التاسع</w:t>
            </w:r>
          </w:p>
        </w:tc>
        <w:tc>
          <w:tcPr>
            <w:tcW w:type="dxa" w:w="3952"/>
            <w:vAlign w:val="center"/>
          </w:tcPr>
          <w:p>
            <w:pPr>
              <w:spacing w:line="283" w:lineRule="auto" w:after="0"/>
              <w:jc w:val="right"/>
              <w:bidi/>
            </w:pPr>
            <w:r>
              <w:rPr>
                <w:sz w:val="19"/>
              </w:rPr>
              <w:t>الاختلاف المعجمي والمفهومي والسياقي</w:t>
            </w:r>
          </w:p>
        </w:tc>
      </w:tr>
      <w:tr>
        <w:trPr>
          <w:cantSplit/>
        </w:trPr>
        <w:tc>
          <w:tcPr>
            <w:tcW w:type="dxa" w:w="3952"/>
            <w:vAlign w:val="center"/>
          </w:tcPr>
          <w:p>
            <w:pPr>
              <w:spacing w:line="283" w:lineRule="auto" w:after="0"/>
              <w:jc w:val="right"/>
              <w:bidi/>
            </w:pPr>
            <w:r>
              <w:rPr>
                <w:sz w:val="19"/>
              </w:rPr>
              <w:t>الباب العاشر</w:t>
            </w:r>
          </w:p>
        </w:tc>
        <w:tc>
          <w:tcPr>
            <w:tcW w:type="dxa" w:w="3952"/>
            <w:vAlign w:val="center"/>
          </w:tcPr>
          <w:p>
            <w:pPr>
              <w:spacing w:line="283" w:lineRule="auto" w:after="0"/>
              <w:jc w:val="right"/>
              <w:bidi/>
            </w:pPr>
            <w:r>
              <w:rPr>
                <w:sz w:val="19"/>
              </w:rPr>
              <w:t>اختلاف القراءات بين التنوع والتغاير والتعارض الظاهري</w:t>
            </w:r>
          </w:p>
        </w:tc>
      </w:tr>
      <w:tr>
        <w:trPr>
          <w:cantSplit/>
        </w:trPr>
        <w:tc>
          <w:tcPr>
            <w:tcW w:type="dxa" w:w="3952"/>
            <w:vAlign w:val="center"/>
          </w:tcPr>
          <w:p>
            <w:pPr>
              <w:spacing w:line="283" w:lineRule="auto" w:after="0"/>
              <w:jc w:val="right"/>
              <w:bidi/>
            </w:pPr>
            <w:r>
              <w:rPr>
                <w:sz w:val="19"/>
              </w:rPr>
              <w:t>الباب الحادي عشر</w:t>
            </w:r>
          </w:p>
        </w:tc>
        <w:tc>
          <w:tcPr>
            <w:tcW w:type="dxa" w:w="3952"/>
            <w:vAlign w:val="center"/>
          </w:tcPr>
          <w:p>
            <w:pPr>
              <w:spacing w:line="283" w:lineRule="auto" w:after="0"/>
              <w:jc w:val="right"/>
              <w:bidi/>
            </w:pPr>
            <w:r>
              <w:rPr>
                <w:sz w:val="19"/>
              </w:rPr>
              <w:t>الجمع والترجيح بين القراءات في التفسير</w:t>
            </w:r>
          </w:p>
        </w:tc>
      </w:tr>
      <w:tr>
        <w:trPr>
          <w:cantSplit/>
        </w:trPr>
        <w:tc>
          <w:tcPr>
            <w:tcW w:type="dxa" w:w="3952"/>
            <w:vAlign w:val="center"/>
          </w:tcPr>
          <w:p>
            <w:pPr>
              <w:spacing w:line="283" w:lineRule="auto" w:after="0"/>
              <w:jc w:val="right"/>
              <w:bidi/>
            </w:pPr>
            <w:r>
              <w:rPr>
                <w:sz w:val="19"/>
              </w:rPr>
              <w:t>الباب الثاني عشر</w:t>
            </w:r>
          </w:p>
        </w:tc>
        <w:tc>
          <w:tcPr>
            <w:tcW w:type="dxa" w:w="3952"/>
            <w:vAlign w:val="center"/>
          </w:tcPr>
          <w:p>
            <w:pPr>
              <w:spacing w:line="283" w:lineRule="auto" w:after="0"/>
              <w:jc w:val="right"/>
              <w:bidi/>
            </w:pPr>
            <w:r>
              <w:rPr>
                <w:sz w:val="19"/>
              </w:rPr>
              <w:t>القراءات والمحكم والمتشابه والشبكات البيانية</w:t>
            </w:r>
          </w:p>
        </w:tc>
      </w:tr>
      <w:tr>
        <w:trPr>
          <w:cantSplit/>
        </w:trPr>
        <w:tc>
          <w:tcPr>
            <w:tcW w:type="dxa" w:w="3952"/>
            <w:vAlign w:val="center"/>
          </w:tcPr>
          <w:p>
            <w:pPr>
              <w:spacing w:line="283" w:lineRule="auto" w:after="0"/>
              <w:jc w:val="right"/>
              <w:bidi/>
            </w:pPr>
            <w:r>
              <w:rPr>
                <w:sz w:val="19"/>
              </w:rPr>
              <w:t>الباب الثالث عشر</w:t>
            </w:r>
          </w:p>
        </w:tc>
        <w:tc>
          <w:tcPr>
            <w:tcW w:type="dxa" w:w="3952"/>
            <w:vAlign w:val="center"/>
          </w:tcPr>
          <w:p>
            <w:pPr>
              <w:spacing w:line="283" w:lineRule="auto" w:after="0"/>
              <w:jc w:val="right"/>
              <w:bidi/>
            </w:pPr>
            <w:r>
              <w:rPr>
                <w:sz w:val="19"/>
              </w:rPr>
              <w:t>القراءات وأسباب النزول والمأثور واللغة</w:t>
            </w:r>
          </w:p>
        </w:tc>
      </w:tr>
      <w:tr>
        <w:trPr>
          <w:cantSplit/>
        </w:trPr>
        <w:tc>
          <w:tcPr>
            <w:tcW w:type="dxa" w:w="3952"/>
            <w:vAlign w:val="center"/>
          </w:tcPr>
          <w:p>
            <w:pPr>
              <w:spacing w:line="283" w:lineRule="auto" w:after="0"/>
              <w:jc w:val="right"/>
              <w:bidi/>
            </w:pPr>
            <w:r>
              <w:rPr>
                <w:sz w:val="19"/>
              </w:rPr>
              <w:t>الباب الرابع عشر</w:t>
            </w:r>
          </w:p>
        </w:tc>
        <w:tc>
          <w:tcPr>
            <w:tcW w:type="dxa" w:w="3952"/>
            <w:vAlign w:val="center"/>
          </w:tcPr>
          <w:p>
            <w:pPr>
              <w:spacing w:line="283" w:lineRule="auto" w:after="0"/>
              <w:jc w:val="right"/>
              <w:bidi/>
            </w:pPr>
            <w:r>
              <w:rPr>
                <w:sz w:val="19"/>
              </w:rPr>
              <w:t>القراءات والأحكام الفقهية والعقدية وحدود الاستدلال</w:t>
            </w:r>
          </w:p>
        </w:tc>
      </w:tr>
      <w:tr>
        <w:trPr>
          <w:cantSplit/>
        </w:trPr>
        <w:tc>
          <w:tcPr>
            <w:tcW w:type="dxa" w:w="3952"/>
            <w:vAlign w:val="center"/>
          </w:tcPr>
          <w:p>
            <w:pPr>
              <w:spacing w:line="283" w:lineRule="auto" w:after="0"/>
              <w:jc w:val="right"/>
              <w:bidi/>
            </w:pPr>
            <w:r>
              <w:rPr>
                <w:sz w:val="19"/>
              </w:rPr>
              <w:t>الباب الخامس عشر</w:t>
            </w:r>
          </w:p>
        </w:tc>
        <w:tc>
          <w:tcPr>
            <w:tcW w:type="dxa" w:w="3952"/>
            <w:vAlign w:val="center"/>
          </w:tcPr>
          <w:p>
            <w:pPr>
              <w:spacing w:line="283" w:lineRule="auto" w:after="0"/>
              <w:jc w:val="right"/>
              <w:bidi/>
            </w:pPr>
            <w:r>
              <w:rPr>
                <w:sz w:val="19"/>
              </w:rPr>
              <w:t>القراءات غير المشهورة والشاذة وقيمتها التفسيرية</w:t>
            </w:r>
          </w:p>
        </w:tc>
      </w:tr>
      <w:tr>
        <w:trPr>
          <w:cantSplit/>
        </w:trPr>
        <w:tc>
          <w:tcPr>
            <w:tcW w:type="dxa" w:w="3952"/>
            <w:vAlign w:val="center"/>
          </w:tcPr>
          <w:p>
            <w:pPr>
              <w:spacing w:line="283" w:lineRule="auto" w:after="0"/>
              <w:jc w:val="right"/>
              <w:bidi/>
            </w:pPr>
            <w:r>
              <w:rPr>
                <w:sz w:val="19"/>
              </w:rPr>
              <w:t>الباب السادس عشر</w:t>
            </w:r>
          </w:p>
        </w:tc>
        <w:tc>
          <w:tcPr>
            <w:tcW w:type="dxa" w:w="3952"/>
            <w:vAlign w:val="center"/>
          </w:tcPr>
          <w:p>
            <w:pPr>
              <w:spacing w:line="283" w:lineRule="auto" w:after="0"/>
              <w:jc w:val="right"/>
              <w:bidi/>
            </w:pPr>
            <w:r>
              <w:rPr>
                <w:sz w:val="19"/>
              </w:rPr>
              <w:t>مغالطات التعامل مع القراءات ومخاطر التوظيف المذهبي</w:t>
            </w:r>
          </w:p>
        </w:tc>
      </w:tr>
      <w:tr>
        <w:trPr>
          <w:cantSplit/>
        </w:trPr>
        <w:tc>
          <w:tcPr>
            <w:tcW w:type="dxa" w:w="3952"/>
            <w:vAlign w:val="center"/>
          </w:tcPr>
          <w:p>
            <w:pPr>
              <w:spacing w:line="283" w:lineRule="auto" w:after="0"/>
              <w:jc w:val="right"/>
              <w:bidi/>
            </w:pPr>
            <w:r>
              <w:rPr>
                <w:sz w:val="19"/>
              </w:rPr>
              <w:t>الباب السابع عشر</w:t>
            </w:r>
          </w:p>
        </w:tc>
        <w:tc>
          <w:tcPr>
            <w:tcW w:type="dxa" w:w="3952"/>
            <w:vAlign w:val="center"/>
          </w:tcPr>
          <w:p>
            <w:pPr>
              <w:spacing w:line="283" w:lineRule="auto" w:after="0"/>
              <w:jc w:val="right"/>
              <w:bidi/>
            </w:pPr>
            <w:r>
              <w:rPr>
                <w:sz w:val="19"/>
              </w:rPr>
              <w:t>الخوارزمية والمصفوفة الحاسوبية لتحليل القراءات</w:t>
            </w:r>
          </w:p>
        </w:tc>
      </w:tr>
      <w:tr>
        <w:trPr>
          <w:cantSplit/>
        </w:trPr>
        <w:tc>
          <w:tcPr>
            <w:tcW w:type="dxa" w:w="3952"/>
            <w:vAlign w:val="center"/>
          </w:tcPr>
          <w:p>
            <w:pPr>
              <w:spacing w:line="283" w:lineRule="auto" w:after="0"/>
              <w:jc w:val="right"/>
              <w:bidi/>
            </w:pPr>
            <w:r>
              <w:rPr>
                <w:sz w:val="19"/>
              </w:rPr>
              <w:t>الباب الثامن عشر</w:t>
            </w:r>
          </w:p>
        </w:tc>
        <w:tc>
          <w:tcPr>
            <w:tcW w:type="dxa" w:w="3952"/>
            <w:vAlign w:val="center"/>
          </w:tcPr>
          <w:p>
            <w:pPr>
              <w:spacing w:line="283" w:lineRule="auto" w:after="0"/>
              <w:jc w:val="right"/>
              <w:bidi/>
            </w:pPr>
            <w:r>
              <w:rPr>
                <w:sz w:val="19"/>
              </w:rPr>
              <w:t>النظرية الجامعة وميثاق المفسر في القراءات</w:t>
            </w:r>
          </w:p>
        </w:tc>
      </w:tr>
    </w:tbl>
    <w:p/>
    <w:p>
      <w:pPr>
        <w:pStyle w:val="Heading1"/>
        <w:spacing w:line="283" w:lineRule="auto" w:after="120"/>
        <w:jc w:val="right"/>
        <w:keepNext/>
        <w:bidi/>
      </w:pPr>
      <w:r>
        <w:t>الباب الأول: ماهية القراءات وموقعها من علم التفسير البياني</w:t>
      </w:r>
    </w:p>
    <w:p>
      <w:pPr>
        <w:spacing w:line="283" w:lineRule="auto" w:after="80"/>
        <w:ind w:firstLine="397"/>
        <w:jc w:val="both"/>
        <w:bidi/>
      </w:pPr>
      <w:r>
        <w:t>يفتتح هذا الباب بالسؤال الآتي: ما موقع القراءة من القرآن والتفسير؟ ويختبر فرضيةً مركزيةً مفادها أن القراءة وجه أداء منقول مرتبط بالنص المنزل، ويجب فصل مرتبتها من مرتبة القرآن ومن اجتهاد توجيهها.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موقع القراءة من القرآن والتفسير؟ ويفترض أن القراءة وجه أداء منقول مرتبط بالنص المنزل، ويجب فصل مرتبتها من مرتبة القرآن ومن اجتهاد توجيهها.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القرآن والقراءة والأداء.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المصدر والأداء وبين النص والتوجيه، كما يفصل بين الثبوت والحجية وبين القراءة والتفسير.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تحديد موضوع العلم وضبط مراتب المادة.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القرآن والقراءة،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المصدر والأداء والنص والتوجيه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تقديس كل وجه منقول واختزال القرآن في قراءة واحدة.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القرآن والقراءة والأداء،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جعل الاختلاف تعارضاً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بناء لغة موحدة،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الثبوت بـالتفسير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تحديد موضوع العلم ومنع الخلط.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تقديس كل وجه منقول واختزال القرآن في قراءة واحدة.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جعل الاختلاف تعارضاً وإلغاء القراءات من التفسير.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تحديد موضوع العلم وبناء لغة موحدة،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القراءة وجه أداء منقول مرتبط بالنص المنزل، ويجب فصل مرتبتها من مرتبة القرآن ومن اجتهاد توجيهها. وتعمل هذه القاعدة في حدود القرآن والقراءة ولا تُنقل إلى طبقة أخرى بلا تعليل.</w:t>
      </w:r>
    </w:p>
    <w:p>
      <w:pPr>
        <w:spacing w:line="283" w:lineRule="auto" w:after="80"/>
        <w:ind w:firstLine="397"/>
        <w:jc w:val="both"/>
        <w:bidi/>
      </w:pPr>
      <w:r>
        <w:t>القاعدة الثانية: يجب الفصل بين المصدر والأداء والنص والتوجيه. فإذا اجتمعا ذُكرت علاقة الاجتماع، وإذا افترقا حُفظ حكم كل منهما.</w:t>
      </w:r>
    </w:p>
    <w:p>
      <w:pPr>
        <w:spacing w:line="283" w:lineRule="auto" w:after="80"/>
        <w:ind w:firstLine="397"/>
        <w:jc w:val="both"/>
        <w:bidi/>
      </w:pPr>
      <w:r>
        <w:t>القاعدة الثالثة: تحديد موضوع العلم لا ينتج آلياً منع الخلط. ويجب بيان الجسر الاستدلالي من الثبوت إلى البيان ثم إلى الحجية.</w:t>
      </w:r>
    </w:p>
    <w:p>
      <w:pPr>
        <w:spacing w:line="283" w:lineRule="auto" w:after="80"/>
        <w:ind w:firstLine="397"/>
        <w:jc w:val="both"/>
        <w:bidi/>
      </w:pPr>
      <w:r>
        <w:t>القاعدة الرابعة: خطر تقديس كل وجه منقول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القرآن والقراءة؟</w:t>
            </w:r>
          </w:p>
        </w:tc>
        <w:tc>
          <w:tcPr>
            <w:tcW w:type="dxa" w:w="2635"/>
            <w:vAlign w:val="center"/>
          </w:tcPr>
          <w:p>
            <w:pPr>
              <w:spacing w:line="283" w:lineRule="auto" w:after="0"/>
              <w:jc w:val="right"/>
              <w:bidi/>
            </w:pPr>
            <w:r>
              <w:rPr>
                <w:sz w:val="18"/>
              </w:rPr>
              <w:t>تحديد موضوع العلم</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ضبط مراتب المادة</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بناء لغة موحدة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تقديس كل وجه منقول؟</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منع الخلط</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الثاني: القرآن والمصحف والقراءة والرواية والطريق والوجه</w:t>
      </w:r>
    </w:p>
    <w:p>
      <w:pPr>
        <w:spacing w:line="283" w:lineRule="auto" w:after="80"/>
        <w:ind w:firstLine="397"/>
        <w:jc w:val="both"/>
        <w:bidi/>
      </w:pPr>
      <w:r>
        <w:t>يفتتح هذا الباب بالسؤال الآتي: كيف نفصل المصحف والقراءة والرواية والطريق والوجه؟ ويختبر فرضيةً مركزيةً مفادها أن كل طبقة كيان مستقل؛ والمصحف رسم، والقراءة أداء منسوب لإمام، والرواية نقل عنه، والطريق مسار، والوجه احتمال أداء داخل الطريق.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نفصل المصحف والقراءة والرواية والطريق والوجه؟ ويفترض أن كل طبقة كيان مستقل؛ والمصحف رسم، والقراءة أداء منسوب لإمام، والرواية نقل عنه، والطريق مسار، والوجه احتمال أداء داخل الطريق.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المصحف والقراءة والرواية.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الرسم واللفظ وبين القراءة والرواية، كما يفصل بين الطريق والوجه وبين النسبة والتلقي.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قاموس الكيانات ودقة النسبة.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المصحف والقراءة،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الرسم واللفظ والقراءة والرواية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دمج الطبقات ونسبة الوجه للإمام بلا طريق.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المصحف والقراءة والرواية،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جعل الرسم قراءة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تتبع الطريق،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الطريق بـالوجه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قاموس الكيانات وتفسير أوضح.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دمج الطبقات ونسبة الوجه للإمام بلا طريق.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جعل الرسم قراءة وإخفاء تاريخ النقل.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قاموس الكيانات وتتبع الطريق،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كل طبقة كيان مستقل؛ والمصحف رسم، والقراءة أداء منسوب لإمام، والرواية نقل عنه، والطريق مسار، والوجه احتمال أداء داخل الطريق. وتعمل هذه القاعدة في حدود المصحف والقراءة ولا تُنقل إلى طبقة أخرى بلا تعليل.</w:t>
      </w:r>
    </w:p>
    <w:p>
      <w:pPr>
        <w:spacing w:line="283" w:lineRule="auto" w:after="80"/>
        <w:ind w:firstLine="397"/>
        <w:jc w:val="both"/>
        <w:bidi/>
      </w:pPr>
      <w:r>
        <w:t>القاعدة الثانية: يجب الفصل بين الرسم واللفظ والقراءة والرواية. فإذا اجتمعا ذُكرت علاقة الاجتماع، وإذا افترقا حُفظ حكم كل منهما.</w:t>
      </w:r>
    </w:p>
    <w:p>
      <w:pPr>
        <w:spacing w:line="283" w:lineRule="auto" w:after="80"/>
        <w:ind w:firstLine="397"/>
        <w:jc w:val="both"/>
        <w:bidi/>
      </w:pPr>
      <w:r>
        <w:t>القاعدة الثالثة: قاموس الكيانات لا ينتج آلياً تفسير أوضح. ويجب بيان الجسر الاستدلالي من الثبوت إلى البيان ثم إلى الحجية.</w:t>
      </w:r>
    </w:p>
    <w:p>
      <w:pPr>
        <w:spacing w:line="283" w:lineRule="auto" w:after="80"/>
        <w:ind w:firstLine="397"/>
        <w:jc w:val="both"/>
        <w:bidi/>
      </w:pPr>
      <w:r>
        <w:t>القاعدة الرابعة: خطر دمج الطبقات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المصحف والقراءة؟</w:t>
            </w:r>
          </w:p>
        </w:tc>
        <w:tc>
          <w:tcPr>
            <w:tcW w:type="dxa" w:w="2635"/>
            <w:vAlign w:val="center"/>
          </w:tcPr>
          <w:p>
            <w:pPr>
              <w:spacing w:line="283" w:lineRule="auto" w:after="0"/>
              <w:jc w:val="right"/>
              <w:bidi/>
            </w:pPr>
            <w:r>
              <w:rPr>
                <w:sz w:val="18"/>
              </w:rPr>
              <w:t>قاموس الكيانات</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دقة النسبة</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تتبع الطريق</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دمج الطبقات؟</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تفسير أوضح</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الثالث: نشأة علم القراءات وتاريخ التلقي والتدوين</w:t>
      </w:r>
    </w:p>
    <w:p>
      <w:pPr>
        <w:spacing w:line="283" w:lineRule="auto" w:after="80"/>
        <w:ind w:firstLine="397"/>
        <w:jc w:val="both"/>
        <w:bidi/>
      </w:pPr>
      <w:r>
        <w:t>يفتتح هذا الباب بالسؤال الآتي: كيف تشكل علم القراءات تاريخياً؟ ويختبر فرضيةً مركزيةً مفادها أن التلقي الشفهي والتدوين والاختيار والتقعيد مراحل متراكبة لا يجوز إسقاط صورة متأخرة منها على القرن الأول بلا بينة.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تشكل علم القراءات تاريخياً؟ ويفترض أن التلقي الشفهي والتدوين والاختيار والتقعيد مراحل متراكبة لا يجوز إسقاط صورة متأخرة منها على القرن الأول بلا بينة.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التلقي والأمصار والأئمة.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التاريخ والشرعية وبين الاختيار والتواتر، كما يفصل بين المصر والإمام وبين التلقي والتدوين.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خط زمني ودرجات ثقة.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التلقي والأمصار،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التاريخ والشرعية والاختيار والتواتر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إعادة تاريخ يقيني من مصادر متأخرة وتقديس الاختيار المدرسي.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التلقي والأمصار والأئمة،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إهمال الأمصار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فصل المرحلة،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التدوين بـالاختيار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خط زمني وبرنامج تحقيق.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إعادة تاريخ يقيني من مصادر متأخرة وتقديس الاختيار المدرسي.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إهمال الأمصار والخلط بين التاريخ والعقيدة.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خط زمني وفصل المرحلة،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التلقي الشفهي والتدوين والاختيار والتقعيد مراحل متراكبة لا يجوز إسقاط صورة متأخرة منها على القرن الأول بلا بينة. وتعمل هذه القاعدة في حدود التلقي والأمصار ولا تُنقل إلى طبقة أخرى بلا تعليل.</w:t>
      </w:r>
    </w:p>
    <w:p>
      <w:pPr>
        <w:spacing w:line="283" w:lineRule="auto" w:after="80"/>
        <w:ind w:firstLine="397"/>
        <w:jc w:val="both"/>
        <w:bidi/>
      </w:pPr>
      <w:r>
        <w:t>القاعدة الثانية: يجب الفصل بين التاريخ والشرعية والاختيار والتواتر. فإذا اجتمعا ذُكرت علاقة الاجتماع، وإذا افترقا حُفظ حكم كل منهما.</w:t>
      </w:r>
    </w:p>
    <w:p>
      <w:pPr>
        <w:spacing w:line="283" w:lineRule="auto" w:after="80"/>
        <w:ind w:firstLine="397"/>
        <w:jc w:val="both"/>
        <w:bidi/>
      </w:pPr>
      <w:r>
        <w:t>القاعدة الثالثة: خط زمني لا ينتج آلياً برنامج تحقيق. ويجب بيان الجسر الاستدلالي من الثبوت إلى البيان ثم إلى الحجية.</w:t>
      </w:r>
    </w:p>
    <w:p>
      <w:pPr>
        <w:spacing w:line="283" w:lineRule="auto" w:after="80"/>
        <w:ind w:firstLine="397"/>
        <w:jc w:val="both"/>
        <w:bidi/>
      </w:pPr>
      <w:r>
        <w:t>القاعدة الرابعة: خطر إعادة تاريخ يقيني من مصادر متأخرة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التلقي والأمصار؟</w:t>
            </w:r>
          </w:p>
        </w:tc>
        <w:tc>
          <w:tcPr>
            <w:tcW w:type="dxa" w:w="2635"/>
            <w:vAlign w:val="center"/>
          </w:tcPr>
          <w:p>
            <w:pPr>
              <w:spacing w:line="283" w:lineRule="auto" w:after="0"/>
              <w:jc w:val="right"/>
              <w:bidi/>
            </w:pPr>
            <w:r>
              <w:rPr>
                <w:sz w:val="18"/>
              </w:rPr>
              <w:t>خط زمني</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درجات ثقة</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فصل المرحلة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إعادة تاريخ يقيني من مصادر متأخرة؟</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برنامج تحقيق</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الرابع: معايير ثبوت القراءة: النقل والرسم والعربية والتلقي</w:t>
      </w:r>
    </w:p>
    <w:p>
      <w:pPr>
        <w:spacing w:line="283" w:lineRule="auto" w:after="80"/>
        <w:ind w:firstLine="397"/>
        <w:jc w:val="both"/>
        <w:bidi/>
      </w:pPr>
      <w:r>
        <w:t>يفتتح هذا الباب بالسؤال الآتي: ما معايير ثبوت القراءة وما ترتيبها؟ ويختبر فرضيةً مركزيةً مفادها أن تُفحص القراءة بالنقل والتلقي والرسم والعربية مع بيان وظيفة كل معيار، ولا يُجعل معيار واحد مصححاً للآخر آلياً.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معايير ثبوت القراءة وما ترتيبها؟ ويفترض أن تُفحص القراءة بالنقل والتلقي والرسم والعربية مع بيان وظيفة كل معيار، ولا يُجعل معيار واحد مصححاً للآخر آلياً.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النقل والرسم والعربية.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النقل والرسم وبين العربية والثبوت، كما يفصل بين الشهرة والتواتر وبين المعيار والقرينة.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مصفوفة ثبوت وترتيب الأدلة.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النقل والرسم،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النقل والرسم والعربية والثبوت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تصحيح القراءة بالعربية ورد الثابت لوجه نحوي.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النقل والرسم والعربية،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جعل الشهرة برهاناً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حكم متعدد الأبعاد،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التلقي بـالشهرة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مصفوفة ثبوت وضبط الاستعمال.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تصحيح القراءة بالعربية ورد الثابت لوجه نحوي.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جعل الشهرة برهاناً وإهمال الطريق.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مصفوفة ثبوت وحكم متعدد الأبعاد،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تُفحص القراءة بالنقل والتلقي والرسم والعربية مع بيان وظيفة كل معيار، ولا يُجعل معيار واحد مصححاً للآخر آلياً. وتعمل هذه القاعدة في حدود النقل والرسم ولا تُنقل إلى طبقة أخرى بلا تعليل.</w:t>
      </w:r>
    </w:p>
    <w:p>
      <w:pPr>
        <w:spacing w:line="283" w:lineRule="auto" w:after="80"/>
        <w:ind w:firstLine="397"/>
        <w:jc w:val="both"/>
        <w:bidi/>
      </w:pPr>
      <w:r>
        <w:t>القاعدة الثانية: يجب الفصل بين النقل والرسم والعربية والثبوت. فإذا اجتمعا ذُكرت علاقة الاجتماع، وإذا افترقا حُفظ حكم كل منهما.</w:t>
      </w:r>
    </w:p>
    <w:p>
      <w:pPr>
        <w:spacing w:line="283" w:lineRule="auto" w:after="80"/>
        <w:ind w:firstLine="397"/>
        <w:jc w:val="both"/>
        <w:bidi/>
      </w:pPr>
      <w:r>
        <w:t>القاعدة الثالثة: مصفوفة ثبوت لا ينتج آلياً ضبط الاستعمال. ويجب بيان الجسر الاستدلالي من الثبوت إلى البيان ثم إلى الحجية.</w:t>
      </w:r>
    </w:p>
    <w:p>
      <w:pPr>
        <w:spacing w:line="283" w:lineRule="auto" w:after="80"/>
        <w:ind w:firstLine="397"/>
        <w:jc w:val="both"/>
        <w:bidi/>
      </w:pPr>
      <w:r>
        <w:t>القاعدة الرابعة: خطر تصحيح القراءة بالعربية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النقل والرسم؟</w:t>
            </w:r>
          </w:p>
        </w:tc>
        <w:tc>
          <w:tcPr>
            <w:tcW w:type="dxa" w:w="2635"/>
            <w:vAlign w:val="center"/>
          </w:tcPr>
          <w:p>
            <w:pPr>
              <w:spacing w:line="283" w:lineRule="auto" w:after="0"/>
              <w:jc w:val="right"/>
              <w:bidi/>
            </w:pPr>
            <w:r>
              <w:rPr>
                <w:sz w:val="18"/>
              </w:rPr>
              <w:t>مصفوفة ثبوت</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ترتيب الأدلة</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حكم متعدد الأبعاد</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تصحيح القراءة بالعربية؟</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ضبط الاستعمال</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الخامس: الرسم العثماني وعلاقته بالقراءات والبيان</w:t>
      </w:r>
    </w:p>
    <w:p>
      <w:pPr>
        <w:spacing w:line="283" w:lineRule="auto" w:after="80"/>
        <w:ind w:firstLine="397"/>
        <w:jc w:val="both"/>
        <w:bidi/>
      </w:pPr>
      <w:r>
        <w:t>يفتتح هذا الباب بالسؤال الآتي: ما وظيفة الرسم العثماني في القراءات؟ ويختبر فرضيةً مركزيةً مفادها أن الرسم وعاء تاريخي حاكم في مجال الاحتمال الكتابي لكنه لا ينشئ القراءة بلا نقل، ويجب التمييز بين ما يحتمله الرسم وما يثبته التلقي.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وظيفة الرسم العثماني في القراءات؟ ويفترض أن الرسم وعاء تاريخي حاكم في مجال الاحتمال الكتابي لكنه لا ينشئ القراءة بلا نقل، ويجب التمييز بين ما يحتمله الرسم وما يثبته التلقي.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الرسم والاحتمال والنقل.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الرسم والقراءة وبين الاحتمال والثبوت، كما يفصل بين الرسم والإملاء وبين التاريخ والحجية.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حد الرسم وتاريخ النسخ.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الرسم والاحتمال،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الرسم والقراءة والاحتمال والثبوت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عبادة الرسم وإهمال الرسم.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الرسم والاحتمال والنقل،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إسقاط الإملاء الحديث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منع الاختلاق،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المصحف بـالضبط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حد الرسم وتحليل احتمالات.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عبادة الرسم وإهمال الرسم.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إسقاط الإملاء الحديث واختراع قراءة محتملة.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حد الرسم ومنع الاختلاق،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الرسم وعاء تاريخي حاكم في مجال الاحتمال الكتابي لكنه لا ينشئ القراءة بلا نقل، ويجب التمييز بين ما يحتمله الرسم وما يثبته التلقي. وتعمل هذه القاعدة في حدود الرسم والاحتمال ولا تُنقل إلى طبقة أخرى بلا تعليل.</w:t>
      </w:r>
    </w:p>
    <w:p>
      <w:pPr>
        <w:spacing w:line="283" w:lineRule="auto" w:after="80"/>
        <w:ind w:firstLine="397"/>
        <w:jc w:val="both"/>
        <w:bidi/>
      </w:pPr>
      <w:r>
        <w:t>القاعدة الثانية: يجب الفصل بين الرسم والقراءة والاحتمال والثبوت. فإذا اجتمعا ذُكرت علاقة الاجتماع، وإذا افترقا حُفظ حكم كل منهما.</w:t>
      </w:r>
    </w:p>
    <w:p>
      <w:pPr>
        <w:spacing w:line="283" w:lineRule="auto" w:after="80"/>
        <w:ind w:firstLine="397"/>
        <w:jc w:val="both"/>
        <w:bidi/>
      </w:pPr>
      <w:r>
        <w:t>القاعدة الثالثة: حد الرسم لا ينتج آلياً تحليل احتمالات. ويجب بيان الجسر الاستدلالي من الثبوت إلى البيان ثم إلى الحجية.</w:t>
      </w:r>
    </w:p>
    <w:p>
      <w:pPr>
        <w:spacing w:line="283" w:lineRule="auto" w:after="80"/>
        <w:ind w:firstLine="397"/>
        <w:jc w:val="both"/>
        <w:bidi/>
      </w:pPr>
      <w:r>
        <w:t>القاعدة الرابعة: خطر عبادة الرسم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الرسم والاحتمال؟</w:t>
            </w:r>
          </w:p>
        </w:tc>
        <w:tc>
          <w:tcPr>
            <w:tcW w:type="dxa" w:w="2635"/>
            <w:vAlign w:val="center"/>
          </w:tcPr>
          <w:p>
            <w:pPr>
              <w:spacing w:line="283" w:lineRule="auto" w:after="0"/>
              <w:jc w:val="right"/>
              <w:bidi/>
            </w:pPr>
            <w:r>
              <w:rPr>
                <w:sz w:val="18"/>
              </w:rPr>
              <w:t>حد الرسم</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تاريخ النسخ</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منع الاختلاق</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عبادة الرسم؟</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تحليل احتمالات</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السادس: الأحرف والقراءات وحدود إعادة البناء التاريخي</w:t>
      </w:r>
    </w:p>
    <w:p>
      <w:pPr>
        <w:spacing w:line="283" w:lineRule="auto" w:after="80"/>
        <w:ind w:firstLine="397"/>
        <w:jc w:val="both"/>
        <w:bidi/>
      </w:pPr>
      <w:r>
        <w:t>يفتتح هذا الباب بالسؤال الآتي: كيف يتعامل المنهج مع الأحرف والقراءات؟ ويختبر فرضيةً مركزيةً مفادها أن لا تُبنى نظرية تاريخية جازمة على روايات محتملة ومعطيات ناقصة؛ ويجب فصل المقطوع من الفرضيات في تفسير علاقة الأحرف بالقراءات.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يتعامل المنهج مع الأحرف والقراءات؟ ويفترض أن لا تُبنى نظرية تاريخية جازمة على روايات محتملة ومعطيات ناقصة؛ ويجب فصل المقطوع من الفرضيات في تفسير علاقة الأحرف بالقراءات.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الأحرف والقراءات والرخصة.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الأحرف والقراءة وبين الحديث والتاريخ، كما يفصل بين الرخصة والتدوين وبين الفرضية والعقيدة.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خريطة فرضيات ودرجات يقين.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الأحرف والقراءات،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الأحرف والقراءة والحديث والتاريخ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نظرية واحدة قطعية وتحميل النصوص ما لا تحتمل.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الأحرف والقراءات والرخصة،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الخلط بين الأحرف والقراءات العشر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توقف مسؤول،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التاريخ بـالفرضية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خريطة فرضيات ومنع التوظيف.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نظرية واحدة قطعية وتحميل النصوص ما لا تحتمل.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الخلط بين الأحرف والقراءات العشر وتجاهل الغموض التاريخي.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خريطة فرضيات وتوقف مسؤول،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لا تُبنى نظرية تاريخية جازمة على روايات محتملة ومعطيات ناقصة؛ ويجب فصل المقطوع من الفرضيات في تفسير علاقة الأحرف بالقراءات. وتعمل هذه القاعدة في حدود الأحرف والقراءات ولا تُنقل إلى طبقة أخرى بلا تعليل.</w:t>
      </w:r>
    </w:p>
    <w:p>
      <w:pPr>
        <w:spacing w:line="283" w:lineRule="auto" w:after="80"/>
        <w:ind w:firstLine="397"/>
        <w:jc w:val="both"/>
        <w:bidi/>
      </w:pPr>
      <w:r>
        <w:t>القاعدة الثانية: يجب الفصل بين الأحرف والقراءة والحديث والتاريخ. فإذا اجتمعا ذُكرت علاقة الاجتماع، وإذا افترقا حُفظ حكم كل منهما.</w:t>
      </w:r>
    </w:p>
    <w:p>
      <w:pPr>
        <w:spacing w:line="283" w:lineRule="auto" w:after="80"/>
        <w:ind w:firstLine="397"/>
        <w:jc w:val="both"/>
        <w:bidi/>
      </w:pPr>
      <w:r>
        <w:t>القاعدة الثالثة: خريطة فرضيات لا ينتج آلياً منع التوظيف. ويجب بيان الجسر الاستدلالي من الثبوت إلى البيان ثم إلى الحجية.</w:t>
      </w:r>
    </w:p>
    <w:p>
      <w:pPr>
        <w:spacing w:line="283" w:lineRule="auto" w:after="80"/>
        <w:ind w:firstLine="397"/>
        <w:jc w:val="both"/>
        <w:bidi/>
      </w:pPr>
      <w:r>
        <w:t>القاعدة الرابعة: خطر نظرية واحدة قطعية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الأحرف والقراءات؟</w:t>
            </w:r>
          </w:p>
        </w:tc>
        <w:tc>
          <w:tcPr>
            <w:tcW w:type="dxa" w:w="2635"/>
            <w:vAlign w:val="center"/>
          </w:tcPr>
          <w:p>
            <w:pPr>
              <w:spacing w:line="283" w:lineRule="auto" w:after="0"/>
              <w:jc w:val="right"/>
              <w:bidi/>
            </w:pPr>
            <w:r>
              <w:rPr>
                <w:sz w:val="18"/>
              </w:rPr>
              <w:t>خريطة فرضيات</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درجات يقين</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توقف مسؤول</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نظرية واحدة قطعية؟</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منع التوظيف</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السابع: الاختلاف الصوتي والصرفي وأثره في الدلالة</w:t>
      </w:r>
    </w:p>
    <w:p>
      <w:pPr>
        <w:spacing w:line="283" w:lineRule="auto" w:after="80"/>
        <w:ind w:firstLine="397"/>
        <w:jc w:val="both"/>
        <w:bidi/>
      </w:pPr>
      <w:r>
        <w:t>يفتتح هذا الباب بالسؤال الآتي: متى يؤثر الاختلاف الصوتي والصرفي في المعنى؟ ويختبر فرضيةً مركزيةً مفادها أن لا ينتج كل اختلاف صوتي معنى جديداً، بينما قد تغير البنية الصرفية الفاعل أو العدد أو الزمن أو التعدية فتحتاج إلى تحليل مستقل.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متى يؤثر الاختلاف الصوتي والصرفي في المعنى؟ ويفترض أن لا ينتج كل اختلاف صوتي معنى جديداً، بينما قد تغير البنية الصرفية الفاعل أو العدد أو الزمن أو التعدية فتحتاج إلى تحليل مستقل.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الصوت والصرف والبنية.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الأداء والمعنى وبين الصرف والسياق، كما يفصل بين الصوت والبلاغة وبين الهيئة والوظيفة.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تصنيف الأثر وتحليل صرفي.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الصوت والصرف،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الأداء والمعنى والصرف والسياق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اختراع معنى لكل اختلاف وإهمال الصرف.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الصوت والصرف والبنية،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تسوية الصيغ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تحديد عدم الأثر،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العدد بـالتعدية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تصنيف الأثر وتفسير مقيد.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اختراع معنى لكل اختلاف وإهمال الصرف.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تسوية الصيغ والحكم المعجمي السريع.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تصنيف الأثر وتحديد عدم الأثر،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لا ينتج كل اختلاف صوتي معنى جديداً، بينما قد تغير البنية الصرفية الفاعل أو العدد أو الزمن أو التعدية فتحتاج إلى تحليل مستقل. وتعمل هذه القاعدة في حدود الصوت والصرف ولا تُنقل إلى طبقة أخرى بلا تعليل.</w:t>
      </w:r>
    </w:p>
    <w:p>
      <w:pPr>
        <w:spacing w:line="283" w:lineRule="auto" w:after="80"/>
        <w:ind w:firstLine="397"/>
        <w:jc w:val="both"/>
        <w:bidi/>
      </w:pPr>
      <w:r>
        <w:t>القاعدة الثانية: يجب الفصل بين الأداء والمعنى والصرف والسياق. فإذا اجتمعا ذُكرت علاقة الاجتماع، وإذا افترقا حُفظ حكم كل منهما.</w:t>
      </w:r>
    </w:p>
    <w:p>
      <w:pPr>
        <w:spacing w:line="283" w:lineRule="auto" w:after="80"/>
        <w:ind w:firstLine="397"/>
        <w:jc w:val="both"/>
        <w:bidi/>
      </w:pPr>
      <w:r>
        <w:t>القاعدة الثالثة: تصنيف الأثر لا ينتج آلياً تفسير مقيد. ويجب بيان الجسر الاستدلالي من الثبوت إلى البيان ثم إلى الحجية.</w:t>
      </w:r>
    </w:p>
    <w:p>
      <w:pPr>
        <w:spacing w:line="283" w:lineRule="auto" w:after="80"/>
        <w:ind w:firstLine="397"/>
        <w:jc w:val="both"/>
        <w:bidi/>
      </w:pPr>
      <w:r>
        <w:t>القاعدة الرابعة: خطر اختراع معنى لكل اختلاف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الصوت والصرف؟</w:t>
            </w:r>
          </w:p>
        </w:tc>
        <w:tc>
          <w:tcPr>
            <w:tcW w:type="dxa" w:w="2635"/>
            <w:vAlign w:val="center"/>
          </w:tcPr>
          <w:p>
            <w:pPr>
              <w:spacing w:line="283" w:lineRule="auto" w:after="0"/>
              <w:jc w:val="right"/>
              <w:bidi/>
            </w:pPr>
            <w:r>
              <w:rPr>
                <w:sz w:val="18"/>
              </w:rPr>
              <w:t>تصنيف الأثر</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تحليل صرفي</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تحديد عدم الأثر</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اختراع معنى لكل اختلاف؟</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تفسير مقيد</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الثامن: الاختلاف النحوي والتركيبي والإحالي</w:t>
      </w:r>
    </w:p>
    <w:p>
      <w:pPr>
        <w:spacing w:line="283" w:lineRule="auto" w:after="80"/>
        <w:ind w:firstLine="397"/>
        <w:jc w:val="both"/>
        <w:bidi/>
      </w:pPr>
      <w:r>
        <w:t>يفتتح هذا الباب بالسؤال الآتي: كيف يؤثر الإعراب والتركيب والإحالة؟ ويختبر فرضيةً مركزيةً مفادها أن القراءة قد تغير البنية النحوية أو مرجع الضمير أو علاقة الجملة، ويجب إعادة بناء السياق التركيبي لكل وجه قبل الجمع.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يؤثر الإعراب والتركيب والإحالة؟ ويفترض أن القراءة قد تغير البنية النحوية أو مرجع الضمير أو علاقة الجملة، ويجب إعادة بناء السياق التركيبي لكل وجه قبل الجمع.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الإعراب والتركيب والإحالة.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النحو والدلالة وبين الإحالة والسياق، كما يفصل بين العامل والوظيفة وبين القراءة والتركيب.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خرائط تركيب وتحديد المرجع.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الإعراب والتركيب،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النحو والدلالة والإحالة والسياق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فرض إعراب واحد وجمع وجهين متناقضين.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الإعراب والتركيب والإحالة،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تجاهل مرجع الضمير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قراءات بديلة،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الضمير بـالعامل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خرائط تركيب وترجيح معلل.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فرض إعراب واحد وجمع وجهين متناقضين.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تجاهل مرجع الضمير واستعمال النحو مذهبياً.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خرائط تركيب وقراءات بديلة،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القراءة قد تغير البنية النحوية أو مرجع الضمير أو علاقة الجملة، ويجب إعادة بناء السياق التركيبي لكل وجه قبل الجمع. وتعمل هذه القاعدة في حدود الإعراب والتركيب ولا تُنقل إلى طبقة أخرى بلا تعليل.</w:t>
      </w:r>
    </w:p>
    <w:p>
      <w:pPr>
        <w:spacing w:line="283" w:lineRule="auto" w:after="80"/>
        <w:ind w:firstLine="397"/>
        <w:jc w:val="both"/>
        <w:bidi/>
      </w:pPr>
      <w:r>
        <w:t>القاعدة الثانية: يجب الفصل بين النحو والدلالة والإحالة والسياق. فإذا اجتمعا ذُكرت علاقة الاجتماع، وإذا افترقا حُفظ حكم كل منهما.</w:t>
      </w:r>
    </w:p>
    <w:p>
      <w:pPr>
        <w:spacing w:line="283" w:lineRule="auto" w:after="80"/>
        <w:ind w:firstLine="397"/>
        <w:jc w:val="both"/>
        <w:bidi/>
      </w:pPr>
      <w:r>
        <w:t>القاعدة الثالثة: خرائط تركيب لا ينتج آلياً ترجيح معلل. ويجب بيان الجسر الاستدلالي من الثبوت إلى البيان ثم إلى الحجية.</w:t>
      </w:r>
    </w:p>
    <w:p>
      <w:pPr>
        <w:spacing w:line="283" w:lineRule="auto" w:after="80"/>
        <w:ind w:firstLine="397"/>
        <w:jc w:val="both"/>
        <w:bidi/>
      </w:pPr>
      <w:r>
        <w:t>القاعدة الرابعة: خطر فرض إعراب واحد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الإعراب والتركيب؟</w:t>
            </w:r>
          </w:p>
        </w:tc>
        <w:tc>
          <w:tcPr>
            <w:tcW w:type="dxa" w:w="2635"/>
            <w:vAlign w:val="center"/>
          </w:tcPr>
          <w:p>
            <w:pPr>
              <w:spacing w:line="283" w:lineRule="auto" w:after="0"/>
              <w:jc w:val="right"/>
              <w:bidi/>
            </w:pPr>
            <w:r>
              <w:rPr>
                <w:sz w:val="18"/>
              </w:rPr>
              <w:t>خرائط تركيب</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تحديد المرجع</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قراءات بديلة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فرض إعراب واحد؟</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ترجيح معلل</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التاسع: الاختلاف المعجمي والمفهومي والسياقي</w:t>
      </w:r>
    </w:p>
    <w:p>
      <w:pPr>
        <w:spacing w:line="283" w:lineRule="auto" w:after="80"/>
        <w:ind w:firstLine="397"/>
        <w:jc w:val="both"/>
        <w:bidi/>
      </w:pPr>
      <w:r>
        <w:t>يفتتح هذا الباب بالسؤال الآتي: كيف تتسع الدلالة المعجمية والمفهومية بالقراءات؟ ويختبر فرضيةً مركزيةً مفادها أن قد تكشف القراءة وجهاً معجمياً أو مفهوماً موازراً، لكن المفهوم النهائي يُبنى من مجموع القرآن لا من قراءة منفردة.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تتسع الدلالة المعجمية والمفهومية بالقراءات؟ ويفترض أن قد تكشف القراءة وجهاً معجمياً أو مفهوماً موازراً، لكن المفهوم النهائي يُبنى من مجموع القرآن لا من قراءة منفردة.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المعجم والمفهوم والسياق.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اللفظ والمفهوم وبين القراءة والشبكة، كما يفصل بين المعجم والسياق وبين الوجه والنظام.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أثر مفهومي وقيد سياقي.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المعجم والمفهوم،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اللفظ والمفهوم والقراءة والشبكة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بناء مفهوم من قراءة واحدة وخلط الاشتقاق بالمعنى.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المعجم والمفهوم والسياق،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إلغاء السياق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شبكة قراءات،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الشبكة بـالتصريف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أثر مفهومي وحد التعميم.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بناء مفهوم من قراءة واحدة وخلط الاشتقاق بالمعنى.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إلغاء السياق وتوسيع الشبكة بلا دليل.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أثر مفهومي وشبكة قراءات،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قد تكشف القراءة وجهاً معجمياً أو مفهوماً موازراً، لكن المفهوم النهائي يُبنى من مجموع القرآن لا من قراءة منفردة. وتعمل هذه القاعدة في حدود المعجم والمفهوم ولا تُنقل إلى طبقة أخرى بلا تعليل.</w:t>
      </w:r>
    </w:p>
    <w:p>
      <w:pPr>
        <w:spacing w:line="283" w:lineRule="auto" w:after="80"/>
        <w:ind w:firstLine="397"/>
        <w:jc w:val="both"/>
        <w:bidi/>
      </w:pPr>
      <w:r>
        <w:t>القاعدة الثانية: يجب الفصل بين اللفظ والمفهوم والقراءة والشبكة. فإذا اجتمعا ذُكرت علاقة الاجتماع، وإذا افترقا حُفظ حكم كل منهما.</w:t>
      </w:r>
    </w:p>
    <w:p>
      <w:pPr>
        <w:spacing w:line="283" w:lineRule="auto" w:after="80"/>
        <w:ind w:firstLine="397"/>
        <w:jc w:val="both"/>
        <w:bidi/>
      </w:pPr>
      <w:r>
        <w:t>القاعدة الثالثة: أثر مفهومي لا ينتج آلياً حد التعميم. ويجب بيان الجسر الاستدلالي من الثبوت إلى البيان ثم إلى الحجية.</w:t>
      </w:r>
    </w:p>
    <w:p>
      <w:pPr>
        <w:spacing w:line="283" w:lineRule="auto" w:after="80"/>
        <w:ind w:firstLine="397"/>
        <w:jc w:val="both"/>
        <w:bidi/>
      </w:pPr>
      <w:r>
        <w:t>القاعدة الرابعة: خطر بناء مفهوم من قراءة واحدة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المعجم والمفهوم؟</w:t>
            </w:r>
          </w:p>
        </w:tc>
        <w:tc>
          <w:tcPr>
            <w:tcW w:type="dxa" w:w="2635"/>
            <w:vAlign w:val="center"/>
          </w:tcPr>
          <w:p>
            <w:pPr>
              <w:spacing w:line="283" w:lineRule="auto" w:after="0"/>
              <w:jc w:val="right"/>
              <w:bidi/>
            </w:pPr>
            <w:r>
              <w:rPr>
                <w:sz w:val="18"/>
              </w:rPr>
              <w:t>أثر مفهومي</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قيد سياقي</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شبكة قراءات</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بناء مفهوم من قراءة واحدة؟</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حد التعميم</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العاشر: اختلاف القراءات بين التنوع والتغاير والتعارض الظاهري</w:t>
      </w:r>
    </w:p>
    <w:p>
      <w:pPr>
        <w:spacing w:line="283" w:lineRule="auto" w:after="80"/>
        <w:ind w:firstLine="397"/>
        <w:jc w:val="both"/>
        <w:bidi/>
      </w:pPr>
      <w:r>
        <w:t>يفتتح هذا الباب بالسؤال الآتي: كيف نصنف اختلاف القراءات؟ ويختبر فرضيةً مركزيةً مفادها أن الأصل اختبار التنوع والتكامل قبل ادعاء التغاير، ثم تحديد ما إذا كان الاختلاف في الأداء أو الدلالة أو الوظيفة أو الحكم.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نصنف اختلاف القراءات؟ ويفترض أن الأصل اختبار التنوع والتكامل قبل ادعاء التغاير، ثم تحديد ما إذا كان الاختلاف في الأداء أو الدلالة أو الوظيفة أو الحكم.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التنوع والتغاير والتعارض.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التنوع والتضاد وبين الجمع والترجيح، كما يفصل بين المعنى والحكم وبين الظاهر والمراد.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تصنيف الاختلاف وخريطة معان.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التنوع والتغاير،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التنوع والتضاد والجمع والترجيح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ادعاء التضاد سريعاً وجمع متكلف.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التنوع والتغاير والتعارض،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إلغاء الفروق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محل التعارض،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التكامل بـالمجال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تصنيف الاختلاف ودرجة الجمع.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ادعاء التضاد سريعاً وجمع متكلف.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إلغاء الفروق وتسوية جميع الأوجه.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تصنيف الاختلاف ومحل التعارض،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الأصل اختبار التنوع والتكامل قبل ادعاء التغاير، ثم تحديد ما إذا كان الاختلاف في الأداء أو الدلالة أو الوظيفة أو الحكم. وتعمل هذه القاعدة في حدود التنوع والتغاير ولا تُنقل إلى طبقة أخرى بلا تعليل.</w:t>
      </w:r>
    </w:p>
    <w:p>
      <w:pPr>
        <w:spacing w:line="283" w:lineRule="auto" w:after="80"/>
        <w:ind w:firstLine="397"/>
        <w:jc w:val="both"/>
        <w:bidi/>
      </w:pPr>
      <w:r>
        <w:t>القاعدة الثانية: يجب الفصل بين التنوع والتضاد والجمع والترجيح. فإذا اجتمعا ذُكرت علاقة الاجتماع، وإذا افترقا حُفظ حكم كل منهما.</w:t>
      </w:r>
    </w:p>
    <w:p>
      <w:pPr>
        <w:spacing w:line="283" w:lineRule="auto" w:after="80"/>
        <w:ind w:firstLine="397"/>
        <w:jc w:val="both"/>
        <w:bidi/>
      </w:pPr>
      <w:r>
        <w:t>القاعدة الثالثة: تصنيف الاختلاف لا ينتج آلياً درجة الجمع. ويجب بيان الجسر الاستدلالي من الثبوت إلى البيان ثم إلى الحجية.</w:t>
      </w:r>
    </w:p>
    <w:p>
      <w:pPr>
        <w:spacing w:line="283" w:lineRule="auto" w:after="80"/>
        <w:ind w:firstLine="397"/>
        <w:jc w:val="both"/>
        <w:bidi/>
      </w:pPr>
      <w:r>
        <w:t>القاعدة الرابعة: خطر ادعاء التضاد سريعاً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التنوع والتغاير؟</w:t>
            </w:r>
          </w:p>
        </w:tc>
        <w:tc>
          <w:tcPr>
            <w:tcW w:type="dxa" w:w="2635"/>
            <w:vAlign w:val="center"/>
          </w:tcPr>
          <w:p>
            <w:pPr>
              <w:spacing w:line="283" w:lineRule="auto" w:after="0"/>
              <w:jc w:val="right"/>
              <w:bidi/>
            </w:pPr>
            <w:r>
              <w:rPr>
                <w:sz w:val="18"/>
              </w:rPr>
              <w:t>تصنيف الاختلاف</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خريطة معان</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محل التعارض</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ادعاء التضاد سريعاً؟</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درجة الجمع</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الحادي عشر: الجمع والترجيح بين القراءات في التفسير</w:t>
      </w:r>
    </w:p>
    <w:p>
      <w:pPr>
        <w:spacing w:line="283" w:lineRule="auto" w:after="80"/>
        <w:ind w:firstLine="397"/>
        <w:jc w:val="both"/>
        <w:bidi/>
      </w:pPr>
      <w:r>
        <w:t>يفتتح هذا الباب بالسؤال الآتي: متى نجمع ومتى نرجح؟ ويختبر فرضيةً مركزيةً مفادها أن الجمع مقبول إذا حفظ دلالة كل قراءة وسياقها بقرينة، والترجيح يكون بين التوجيهات لا بإلغاء قراءة ثابتة لمجرد اختيار فقهي أو كلامي.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متى نجمع ومتى نرجح؟ ويفترض أن الجمع مقبول إذا حفظ دلالة كل قراءة وسياقها بقرينة، والترجيح يكون بين التوجيهات لا بإلغاء قراءة ثابتة لمجرد اختيار فقهي أو كلامي.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الجمع والترجيح والتوجيه.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الجمع والتكلف وبين الترجيح والإلغاء، كما يفصل بين الثبوت والتفسير وبين التوجيه والقراءة.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بروتوكول جمع وترجيح التفسير.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الجمع والترجيح،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الجمع والتكلف والترجيح والإلغاء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ترجيح قراءة ثابتة بمعنى ردها وجمع بلا قرينة.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الجمع والترجيح والتوجيه،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اختيار مذهبي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حفظ الثابت،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السياق بـالقرينة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بروتوكول جمع وتوقف مسؤول.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ترجيح قراءة ثابتة بمعنى ردها وجمع بلا قرينة.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اختيار مذهبي وعدم بيان محل الترجيح.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بروتوكول جمع وحفظ الثابت،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الجمع مقبول إذا حفظ دلالة كل قراءة وسياقها بقرينة، والترجيح يكون بين التوجيهات لا بإلغاء قراءة ثابتة لمجرد اختيار فقهي أو كلامي. وتعمل هذه القاعدة في حدود الجمع والترجيح ولا تُنقل إلى طبقة أخرى بلا تعليل.</w:t>
      </w:r>
    </w:p>
    <w:p>
      <w:pPr>
        <w:spacing w:line="283" w:lineRule="auto" w:after="80"/>
        <w:ind w:firstLine="397"/>
        <w:jc w:val="both"/>
        <w:bidi/>
      </w:pPr>
      <w:r>
        <w:t>القاعدة الثانية: يجب الفصل بين الجمع والتكلف والترجيح والإلغاء. فإذا اجتمعا ذُكرت علاقة الاجتماع، وإذا افترقا حُفظ حكم كل منهما.</w:t>
      </w:r>
    </w:p>
    <w:p>
      <w:pPr>
        <w:spacing w:line="283" w:lineRule="auto" w:after="80"/>
        <w:ind w:firstLine="397"/>
        <w:jc w:val="both"/>
        <w:bidi/>
      </w:pPr>
      <w:r>
        <w:t>القاعدة الثالثة: بروتوكول جمع لا ينتج آلياً توقف مسؤول. ويجب بيان الجسر الاستدلالي من الثبوت إلى البيان ثم إلى الحجية.</w:t>
      </w:r>
    </w:p>
    <w:p>
      <w:pPr>
        <w:spacing w:line="283" w:lineRule="auto" w:after="80"/>
        <w:ind w:firstLine="397"/>
        <w:jc w:val="both"/>
        <w:bidi/>
      </w:pPr>
      <w:r>
        <w:t>القاعدة الرابعة: خطر ترجيح قراءة ثابتة بمعنى ردها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الجمع والترجيح؟</w:t>
            </w:r>
          </w:p>
        </w:tc>
        <w:tc>
          <w:tcPr>
            <w:tcW w:type="dxa" w:w="2635"/>
            <w:vAlign w:val="center"/>
          </w:tcPr>
          <w:p>
            <w:pPr>
              <w:spacing w:line="283" w:lineRule="auto" w:after="0"/>
              <w:jc w:val="right"/>
              <w:bidi/>
            </w:pPr>
            <w:r>
              <w:rPr>
                <w:sz w:val="18"/>
              </w:rPr>
              <w:t>بروتوكول جمع</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ترجيح التفسير</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حفظ الثابت</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ترجيح قراءة ثابتة بمعنى ردها؟</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توقف مسؤول</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الثاني عشر: القراءات والمحكم والمتشابه والشبكات البيانية</w:t>
      </w:r>
    </w:p>
    <w:p>
      <w:pPr>
        <w:spacing w:line="283" w:lineRule="auto" w:after="80"/>
        <w:ind w:firstLine="397"/>
        <w:jc w:val="both"/>
        <w:bidi/>
      </w:pPr>
      <w:r>
        <w:t>يفتتح هذا الباب بالسؤال الآتي: كيف تدخل القراءات في المحكم والمتشابه والشبكات؟ ويختبر فرضيةً مركزيةً مفادها أن القراءة الثابتة قد تزيد الإحكام أو تكشف تشابهاً أو تضيف عقدةً للشبكة، لكنها تُرد بدورها إلى محكمات القرآن والسياق الكلي.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تدخل القراءات في المحكم والمتشابه والشبكات؟ ويفترض أن القراءة الثابتة قد تزيد الإحكام أو تكشف تشابهاً أو تضيف عقدةً للشبكة، لكنها تُرد بدورها إلى محكمات القرآن والسياق الكلي.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المحكم والمتشابه والشبكة.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القراءة والمحكم وبين التشابه والتنوع، كما يفصل بين العقدة والشبكة وبين الموضع والكل.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إحكام إضافي وقيد شبكي.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المحكم والمتشابه،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القراءة والمحكم والتشابه والتنوع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جعل قراءة محكماً مطلقاً وإلغاء قراءة باسم المحكم.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المحكم والمتشابه والشبكة،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ربط شبكي مبالغ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حل تشابه،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الحاكم بـالقيد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إحكام إضافي وتفسير متكامل.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جعل قراءة محكماً مطلقاً وإلغاء قراءة باسم المحكم.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ربط شبكي مبالغ وتجاهل السورة.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إحكام إضافي وحل تشابه،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القراءة الثابتة قد تزيد الإحكام أو تكشف تشابهاً أو تضيف عقدةً للشبكة، لكنها تُرد بدورها إلى محكمات القرآن والسياق الكلي. وتعمل هذه القاعدة في حدود المحكم والمتشابه ولا تُنقل إلى طبقة أخرى بلا تعليل.</w:t>
      </w:r>
    </w:p>
    <w:p>
      <w:pPr>
        <w:spacing w:line="283" w:lineRule="auto" w:after="80"/>
        <w:ind w:firstLine="397"/>
        <w:jc w:val="both"/>
        <w:bidi/>
      </w:pPr>
      <w:r>
        <w:t>القاعدة الثانية: يجب الفصل بين القراءة والمحكم والتشابه والتنوع. فإذا اجتمعا ذُكرت علاقة الاجتماع، وإذا افترقا حُفظ حكم كل منهما.</w:t>
      </w:r>
    </w:p>
    <w:p>
      <w:pPr>
        <w:spacing w:line="283" w:lineRule="auto" w:after="80"/>
        <w:ind w:firstLine="397"/>
        <w:jc w:val="both"/>
        <w:bidi/>
      </w:pPr>
      <w:r>
        <w:t>القاعدة الثالثة: إحكام إضافي لا ينتج آلياً تفسير متكامل. ويجب بيان الجسر الاستدلالي من الثبوت إلى البيان ثم إلى الحجية.</w:t>
      </w:r>
    </w:p>
    <w:p>
      <w:pPr>
        <w:spacing w:line="283" w:lineRule="auto" w:after="80"/>
        <w:ind w:firstLine="397"/>
        <w:jc w:val="both"/>
        <w:bidi/>
      </w:pPr>
      <w:r>
        <w:t>القاعدة الرابعة: خطر جعل قراءة محكماً مطلقاً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المحكم والمتشابه؟</w:t>
            </w:r>
          </w:p>
        </w:tc>
        <w:tc>
          <w:tcPr>
            <w:tcW w:type="dxa" w:w="2635"/>
            <w:vAlign w:val="center"/>
          </w:tcPr>
          <w:p>
            <w:pPr>
              <w:spacing w:line="283" w:lineRule="auto" w:after="0"/>
              <w:jc w:val="right"/>
              <w:bidi/>
            </w:pPr>
            <w:r>
              <w:rPr>
                <w:sz w:val="18"/>
              </w:rPr>
              <w:t>إحكام إضافي</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قيد شبكي</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حل تشابه</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جعل قراءة محكماً مطلقاً؟</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تفسير متكامل</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الثالث عشر: القراءات وأسباب النزول والمأثور واللغة</w:t>
      </w:r>
    </w:p>
    <w:p>
      <w:pPr>
        <w:spacing w:line="283" w:lineRule="auto" w:after="80"/>
        <w:ind w:firstLine="397"/>
        <w:jc w:val="both"/>
        <w:bidi/>
      </w:pPr>
      <w:r>
        <w:t>يفتتح هذا الباب بالسؤال الآتي: ما علاقة القراءات بالمأثور وأسباب النزول واللغة؟ ويختبر فرضيةً مركزيةً مفادها أن تُستخدم الأخبار واللغة لتفسير القراءة لا لتصحيح ما لم يثبت، ويُفصل التوجيه الموروث من النص القرائي.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علاقة القراءات بالمأثور وأسباب النزول واللغة؟ ويفترض أن تُستخدم الأخبار واللغة لتفسير القراءة لا لتصحيح ما لم يثبت، ويُفصل التوجيه الموروث من النص القرائي.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المأثور والسبب واللغة.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القراءة والمأثور وبين اللغة والثبوت، كما يفصل بين السبب والدلالة وبين التاريخ والتفسير.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طبقات الأدلة وتاريخ التفسير.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المأثور والسبب،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القراءة والمأثور واللغة والثبوت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تصحيح القراءة بالمأثور الضعيف وحصر المعنى بسبب النزول.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المأثور والسبب واللغة،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الاحتجاج بالشعر ضد الثابت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حد اللغة،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التوجيه بـالتاريخ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طبقات الأدلة وتحقيق الرواية.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تصحيح القراءة بالمأثور الضعيف وحصر المعنى بسبب النزول.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الاحتجاج بالشعر ضد الثابت وتقديس التوجيه.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طبقات الأدلة وحد اللغة،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تُستخدم الأخبار واللغة لتفسير القراءة لا لتصحيح ما لم يثبت، ويُفصل التوجيه الموروث من النص القرائي. وتعمل هذه القاعدة في حدود المأثور والسبب ولا تُنقل إلى طبقة أخرى بلا تعليل.</w:t>
      </w:r>
    </w:p>
    <w:p>
      <w:pPr>
        <w:spacing w:line="283" w:lineRule="auto" w:after="80"/>
        <w:ind w:firstLine="397"/>
        <w:jc w:val="both"/>
        <w:bidi/>
      </w:pPr>
      <w:r>
        <w:t>القاعدة الثانية: يجب الفصل بين القراءة والمأثور واللغة والثبوت. فإذا اجتمعا ذُكرت علاقة الاجتماع، وإذا افترقا حُفظ حكم كل منهما.</w:t>
      </w:r>
    </w:p>
    <w:p>
      <w:pPr>
        <w:spacing w:line="283" w:lineRule="auto" w:after="80"/>
        <w:ind w:firstLine="397"/>
        <w:jc w:val="both"/>
        <w:bidi/>
      </w:pPr>
      <w:r>
        <w:t>القاعدة الثالثة: طبقات الأدلة لا ينتج آلياً تحقيق الرواية. ويجب بيان الجسر الاستدلالي من الثبوت إلى البيان ثم إلى الحجية.</w:t>
      </w:r>
    </w:p>
    <w:p>
      <w:pPr>
        <w:spacing w:line="283" w:lineRule="auto" w:after="80"/>
        <w:ind w:firstLine="397"/>
        <w:jc w:val="both"/>
        <w:bidi/>
      </w:pPr>
      <w:r>
        <w:t>القاعدة الرابعة: خطر تصحيح القراءة بالمأثور الضعيف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المأثور والسبب؟</w:t>
            </w:r>
          </w:p>
        </w:tc>
        <w:tc>
          <w:tcPr>
            <w:tcW w:type="dxa" w:w="2635"/>
            <w:vAlign w:val="center"/>
          </w:tcPr>
          <w:p>
            <w:pPr>
              <w:spacing w:line="283" w:lineRule="auto" w:after="0"/>
              <w:jc w:val="right"/>
              <w:bidi/>
            </w:pPr>
            <w:r>
              <w:rPr>
                <w:sz w:val="18"/>
              </w:rPr>
              <w:t>طبقات الأدلة</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تاريخ التفسير</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حد اللغة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تصحيح القراءة بالمأثور الضعيف؟</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تحقيق الرواية</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الرابع عشر: القراءات والأحكام الفقهية والعقدية وحدود الاستدلال</w:t>
      </w:r>
    </w:p>
    <w:p>
      <w:pPr>
        <w:spacing w:line="283" w:lineRule="auto" w:after="80"/>
        <w:ind w:firstLine="397"/>
        <w:jc w:val="both"/>
        <w:bidi/>
      </w:pPr>
      <w:r>
        <w:t>يفتتح هذا الباب بالسؤال الآتي: كيف تؤثر القراءات في الأحكام؟ ويختبر فرضيةً مركزيةً مفادها أن القراءة الثابتة قد توسع الاستدلال أو تقيده، لكن الحكم الفقهي والعقدي يحتاج إلى جمع القراءات مع القرآن والأصول والسنة والمناط.</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تؤثر القراءات في الأحكام؟ ويفترض أن القراءة الثابتة قد توسع الاستدلال أو تقيده، لكن الحكم الفقهي والعقدي يحتاج إلى جمع القراءات مع القرآن والأصول والسنة والمناط.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الحكم والدلالة والحجية.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القراءة والفتوى وبين الثبوت والحكم، كما يفصل بين اللفظ والأصول وبين الدلالة والإلزام.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حجية مقيدة وجمع أصولي.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الحكم والدلالة،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القراءة والفتوى والثبوت والحكم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إنشاء حكم من قراءة وحدها ورد قراءة لمذهب.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الحكم والدلالة والحجية،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رفع المحتمل إلى عقيدة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عتبة إثبات،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الأصول بـالمناط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حجية مقيدة وقرار معلل.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إنشاء حكم من قراءة وحدها ورد قراءة لمذهب.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رفع المحتمل إلى عقيدة وإهمال المناط.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حجية مقيدة وعتبة إثبات،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القراءة الثابتة قد توسع الاستدلال أو تقيده، لكن الحكم الفقهي والعقدي يحتاج إلى جمع القراءات مع القرآن والأصول والسنة والمناط. وتعمل هذه القاعدة في حدود الحكم والدلالة ولا تُنقل إلى طبقة أخرى بلا تعليل.</w:t>
      </w:r>
    </w:p>
    <w:p>
      <w:pPr>
        <w:spacing w:line="283" w:lineRule="auto" w:after="80"/>
        <w:ind w:firstLine="397"/>
        <w:jc w:val="both"/>
        <w:bidi/>
      </w:pPr>
      <w:r>
        <w:t>القاعدة الثانية: يجب الفصل بين القراءة والفتوى والثبوت والحكم. فإذا اجتمعا ذُكرت علاقة الاجتماع، وإذا افترقا حُفظ حكم كل منهما.</w:t>
      </w:r>
    </w:p>
    <w:p>
      <w:pPr>
        <w:spacing w:line="283" w:lineRule="auto" w:after="80"/>
        <w:ind w:firstLine="397"/>
        <w:jc w:val="both"/>
        <w:bidi/>
      </w:pPr>
      <w:r>
        <w:t>القاعدة الثالثة: حجية مقيدة لا ينتج آلياً قرار معلل. ويجب بيان الجسر الاستدلالي من الثبوت إلى البيان ثم إلى الحجية.</w:t>
      </w:r>
    </w:p>
    <w:p>
      <w:pPr>
        <w:spacing w:line="283" w:lineRule="auto" w:after="80"/>
        <w:ind w:firstLine="397"/>
        <w:jc w:val="both"/>
        <w:bidi/>
      </w:pPr>
      <w:r>
        <w:t>القاعدة الرابعة: خطر إنشاء حكم من قراءة وحدها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الحكم والدلالة؟</w:t>
            </w:r>
          </w:p>
        </w:tc>
        <w:tc>
          <w:tcPr>
            <w:tcW w:type="dxa" w:w="2635"/>
            <w:vAlign w:val="center"/>
          </w:tcPr>
          <w:p>
            <w:pPr>
              <w:spacing w:line="283" w:lineRule="auto" w:after="0"/>
              <w:jc w:val="right"/>
              <w:bidi/>
            </w:pPr>
            <w:r>
              <w:rPr>
                <w:sz w:val="18"/>
              </w:rPr>
              <w:t>حجية مقيدة</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جمع أصولي</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عتبة إثبات</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إنشاء حكم من قراءة وحدها؟</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الخامس عشر: القراءات غير المشهورة والشاذة وقيمتها التفسيرية</w:t>
      </w:r>
    </w:p>
    <w:p>
      <w:pPr>
        <w:spacing w:line="283" w:lineRule="auto" w:after="80"/>
        <w:ind w:firstLine="397"/>
        <w:jc w:val="both"/>
        <w:bidi/>
      </w:pPr>
      <w:r>
        <w:t>يفتتح هذا الباب بالسؤال الآتي: ما قيمة القراءات غير المشهورة والشاذة؟ ويختبر فرضيةً مركزيةً مفادها أن تختلف قيمتها بحسب ثبوتها ووظيفتها؛ وقد تفيد في التاريخ واللغة والتفسير من غير أن تُعامل قرآناً متعبداً بتلاوته.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قيمة القراءات غير المشهورة والشاذة؟ ويفترض أن تختلف قيمتها بحسب ثبوتها ووظيفتها؛ وقد تفيد في التاريخ واللغة والتفسير من غير أن تُعامل قرآناً متعبداً بتلاوته.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الشاذ والأثر والتفسير.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القرآن والأثر وبين الثبوت والقيمة، كما يفصل بين الشذوذ والبطلان وبين اللغة والتلاوة.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تصنيف وظيفي وقيمة تاريخية.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الشاذ والأثر،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القرآن والأثر والثبوت والقيمة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إسقاط المادة كلها ورفعها كلها.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الشاذ والأثر والتفسير،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الاحتجاج الفقهي بلا قيد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قيد الحجية،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اللغة بـالحجية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تصنيف وظيفي وسجل الطرق.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إسقاط المادة كلها ورفعها كلها.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الاحتجاج الفقهي بلا قيد وإخفاء الطريق.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تصنيف وظيفي وقيد الحجية،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تختلف قيمتها بحسب ثبوتها ووظيفتها؛ وقد تفيد في التاريخ واللغة والتفسير من غير أن تُعامل قرآناً متعبداً بتلاوته. وتعمل هذه القاعدة في حدود الشاذ والأثر ولا تُنقل إلى طبقة أخرى بلا تعليل.</w:t>
      </w:r>
    </w:p>
    <w:p>
      <w:pPr>
        <w:spacing w:line="283" w:lineRule="auto" w:after="80"/>
        <w:ind w:firstLine="397"/>
        <w:jc w:val="both"/>
        <w:bidi/>
      </w:pPr>
      <w:r>
        <w:t>القاعدة الثانية: يجب الفصل بين القرآن والأثر والثبوت والقيمة. فإذا اجتمعا ذُكرت علاقة الاجتماع، وإذا افترقا حُفظ حكم كل منهما.</w:t>
      </w:r>
    </w:p>
    <w:p>
      <w:pPr>
        <w:spacing w:line="283" w:lineRule="auto" w:after="80"/>
        <w:ind w:firstLine="397"/>
        <w:jc w:val="both"/>
        <w:bidi/>
      </w:pPr>
      <w:r>
        <w:t>القاعدة الثالثة: تصنيف وظيفي لا ينتج آلياً سجل الطرق. ويجب بيان الجسر الاستدلالي من الثبوت إلى البيان ثم إلى الحجية.</w:t>
      </w:r>
    </w:p>
    <w:p>
      <w:pPr>
        <w:spacing w:line="283" w:lineRule="auto" w:after="80"/>
        <w:ind w:firstLine="397"/>
        <w:jc w:val="both"/>
        <w:bidi/>
      </w:pPr>
      <w:r>
        <w:t>القاعدة الرابعة: خطر إسقاط المادة كلها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الشاذ والأثر؟</w:t>
            </w:r>
          </w:p>
        </w:tc>
        <w:tc>
          <w:tcPr>
            <w:tcW w:type="dxa" w:w="2635"/>
            <w:vAlign w:val="center"/>
          </w:tcPr>
          <w:p>
            <w:pPr>
              <w:spacing w:line="283" w:lineRule="auto" w:after="0"/>
              <w:jc w:val="right"/>
              <w:bidi/>
            </w:pPr>
            <w:r>
              <w:rPr>
                <w:sz w:val="18"/>
              </w:rPr>
              <w:t>تصنيف وظيفي</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قيمة تاريخية</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قيد الحجية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إسقاط المادة كلها؟</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سجل الطرق</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السادس عشر: مغالطات التعامل مع القراءات ومخاطر التوظيف المذهبي</w:t>
      </w:r>
    </w:p>
    <w:p>
      <w:pPr>
        <w:spacing w:line="283" w:lineRule="auto" w:after="80"/>
        <w:ind w:firstLine="397"/>
        <w:jc w:val="both"/>
        <w:bidi/>
      </w:pPr>
      <w:r>
        <w:t>يفتتح هذا الباب بالسؤال الآتي: ما أبرز المغالطات في توظيف القراءات؟ ويختبر فرضيةً مركزيةً مفادها أن يجب منع تحويل القراءات إلى مخزن انتقائي لتثبيت المذهب أو إلى دليل على تعدد النص أو إلى مادة لغوية بلا سند.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أبرز المغالطات في توظيف القراءات؟ ويفترض أن يجب منع تحويل القراءات إلى مخزن انتقائي لتثبيت المذهب أو إلى دليل على تعدد النص أو إلى مادة لغوية بلا سند.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الانتقاء والمذهب والتعدد.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القراءة والمذهب وبين التنوع والتناقض، كما يفصل بين الدليل والاختيار وبين الثابت والمحتمل.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قواعد أخلاقية وشفافية المدونة.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الانتقاء والمذهب،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القراءة والمذهب والتنوع والتناقض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انتقاء الموافق وتجاهل المخالف.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الانتقاء والمذهب والتعدد،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التهويل الإعلامي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عرض جميع الأوجه،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اللغة بـالحجاج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قواعد أخلاقية ومراجعة مستقلة.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انتقاء الموافق وتجاهل المخالف.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التهويل الإعلامي والاختزال الصوتي.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قواعد أخلاقية وعرض جميع الأوجه،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يجب منع تحويل القراءات إلى مخزن انتقائي لتثبيت المذهب أو إلى دليل على تعدد النص أو إلى مادة لغوية بلا سند. وتعمل هذه القاعدة في حدود الانتقاء والمذهب ولا تُنقل إلى طبقة أخرى بلا تعليل.</w:t>
      </w:r>
    </w:p>
    <w:p>
      <w:pPr>
        <w:spacing w:line="283" w:lineRule="auto" w:after="80"/>
        <w:ind w:firstLine="397"/>
        <w:jc w:val="both"/>
        <w:bidi/>
      </w:pPr>
      <w:r>
        <w:t>القاعدة الثانية: يجب الفصل بين القراءة والمذهب والتنوع والتناقض. فإذا اجتمعا ذُكرت علاقة الاجتماع، وإذا افترقا حُفظ حكم كل منهما.</w:t>
      </w:r>
    </w:p>
    <w:p>
      <w:pPr>
        <w:spacing w:line="283" w:lineRule="auto" w:after="80"/>
        <w:ind w:firstLine="397"/>
        <w:jc w:val="both"/>
        <w:bidi/>
      </w:pPr>
      <w:r>
        <w:t>القاعدة الثالثة: قواعد أخلاقية لا ينتج آلياً مراجعة مستقلة. ويجب بيان الجسر الاستدلالي من الثبوت إلى البيان ثم إلى الحجية.</w:t>
      </w:r>
    </w:p>
    <w:p>
      <w:pPr>
        <w:spacing w:line="283" w:lineRule="auto" w:after="80"/>
        <w:ind w:firstLine="397"/>
        <w:jc w:val="both"/>
        <w:bidi/>
      </w:pPr>
      <w:r>
        <w:t>القاعدة الرابعة: خطر انتقاء الموافق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الانتقاء والمذهب؟</w:t>
            </w:r>
          </w:p>
        </w:tc>
        <w:tc>
          <w:tcPr>
            <w:tcW w:type="dxa" w:w="2635"/>
            <w:vAlign w:val="center"/>
          </w:tcPr>
          <w:p>
            <w:pPr>
              <w:spacing w:line="283" w:lineRule="auto" w:after="0"/>
              <w:jc w:val="right"/>
              <w:bidi/>
            </w:pPr>
            <w:r>
              <w:rPr>
                <w:sz w:val="18"/>
              </w:rPr>
              <w:t>قواعد أخلاقية</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شفافية المدونة</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عرض جميع الأوجه</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انتقاء الموافق؟</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مراجعة مستقلة</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السابع عشر: الخوارزمية والمصفوفة الحاسوبية لتحليل القراءات</w:t>
      </w:r>
    </w:p>
    <w:p>
      <w:pPr>
        <w:spacing w:line="283" w:lineRule="auto" w:after="80"/>
        <w:ind w:firstLine="397"/>
        <w:jc w:val="both"/>
        <w:bidi/>
      </w:pPr>
      <w:r>
        <w:t>يفتتح هذا الباب بالسؤال الآتي: كيف تُمثل القراءات حاسوبياً؟ ويختبر فرضيةً مركزيةً مفادها أن تحتاج المدونة إلى كيانات مستقلة للموضع والقراءة والرواية والطريق والوجه والرسم والتوجيه والأثر، مع سجل إصدار وثقة.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تُمثل القراءات حاسوبياً؟ ويفترض أن تحتاج المدونة إلى كيانات مستقلة للموضع والقراءة والرواية والطريق والوجه والرسم والتوجيه والأثر، مع سجل إصدار وثقة.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الكيان والمعرف والطريق.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البيانات والنص وبين المعرف والاسم، كما يفصل بين الطريق والوجه وبين الاقتراح والحكم.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أنطولوجيا قراءات وشبكة طرق.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الكيان والمعرف،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البيانات والنص والمعرف والاسم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دمج الطرق وحذف الاختلاف.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الكيان والمعرف والطريق،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درجة نهائية مبهمة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مقارنة نصية،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الأثر بـالإصدار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أنطولوجيا قراءات ومراجعة قابلة لإعادة الإنتاج.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دمج الطرق وحذف الاختلاف.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درجة نهائية مبهمة واقتراح آلي بلا تفسير.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أنطولوجيا قراءات ومقارنة نصية،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تحتاج المدونة إلى كيانات مستقلة للموضع والقراءة والرواية والطريق والوجه والرسم والتوجيه والأثر، مع سجل إصدار وثقة. وتعمل هذه القاعدة في حدود الكيان والمعرف ولا تُنقل إلى طبقة أخرى بلا تعليل.</w:t>
      </w:r>
    </w:p>
    <w:p>
      <w:pPr>
        <w:spacing w:line="283" w:lineRule="auto" w:after="80"/>
        <w:ind w:firstLine="397"/>
        <w:jc w:val="both"/>
        <w:bidi/>
      </w:pPr>
      <w:r>
        <w:t>القاعدة الثانية: يجب الفصل بين البيانات والنص والمعرف والاسم. فإذا اجتمعا ذُكرت علاقة الاجتماع، وإذا افترقا حُفظ حكم كل منهما.</w:t>
      </w:r>
    </w:p>
    <w:p>
      <w:pPr>
        <w:spacing w:line="283" w:lineRule="auto" w:after="80"/>
        <w:ind w:firstLine="397"/>
        <w:jc w:val="both"/>
        <w:bidi/>
      </w:pPr>
      <w:r>
        <w:t>القاعدة الثالثة: أنطولوجيا قراءات لا ينتج آلياً مراجعة قابلة لإعادة الإنتاج. ويجب بيان الجسر الاستدلالي من الثبوت إلى البيان ثم إلى الحجية.</w:t>
      </w:r>
    </w:p>
    <w:p>
      <w:pPr>
        <w:spacing w:line="283" w:lineRule="auto" w:after="80"/>
        <w:ind w:firstLine="397"/>
        <w:jc w:val="both"/>
        <w:bidi/>
      </w:pPr>
      <w:r>
        <w:t>القاعدة الرابعة: خطر دمج الطرق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الكيان والمعرف؟</w:t>
            </w:r>
          </w:p>
        </w:tc>
        <w:tc>
          <w:tcPr>
            <w:tcW w:type="dxa" w:w="2635"/>
            <w:vAlign w:val="center"/>
          </w:tcPr>
          <w:p>
            <w:pPr>
              <w:spacing w:line="283" w:lineRule="auto" w:after="0"/>
              <w:jc w:val="right"/>
              <w:bidi/>
            </w:pPr>
            <w:r>
              <w:rPr>
                <w:sz w:val="18"/>
              </w:rPr>
              <w:t>أنطولوجيا قراءات</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شبكة طرق</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مقارنة نصية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دمج الطرق؟</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مراجعة قابلة لإعادة الإنتاج</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الباب الثامن عشر: النظرية الجامعة وميثاق المفسر في القراءات</w:t>
      </w:r>
    </w:p>
    <w:p>
      <w:pPr>
        <w:spacing w:line="283" w:lineRule="auto" w:after="80"/>
        <w:ind w:firstLine="397"/>
        <w:jc w:val="both"/>
        <w:bidi/>
      </w:pPr>
      <w:r>
        <w:t>يفتتح هذا الباب بالسؤال الآتي: ما النظرية الجامعة لعمل القراءات في البيان؟ ويختبر فرضيةً مركزيةً مفادها أن القراءات الثابتة وجوه في البيان المتلقى داخل وحدة القرآن، وتعمل بالتكامل مع الرسم واللغة والسياق والشبكة دون أن تتحول إلى نصوص مستقلة أو أدوات مذهبية.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النظرية الجامعة لعمل القراءات في البيان؟ ويفترض أن القراءات الثابتة وجوه في البيان المتلقى داخل وحدة القرآن، وتعمل بالتكامل مع الرسم واللغة والسياق والشبكة دون أن تتحول إلى نصوص مستقلة أو أدوات مذهبية. ولا يُقبل هذا الافتراض لمجرد انسجامه مع مدرسة من مدارس القراءات، بل يجب اختباره على مواضع يظهر فيها أثر القراءة ومواضع لا يظهر فيها أثر، وعلى اختلافات يمكن جمعها وأخرى تحتاج إلى تقييد.</w:t>
      </w:r>
    </w:p>
    <w:p>
      <w:pPr>
        <w:spacing w:line="283" w:lineRule="auto" w:after="80"/>
        <w:ind w:firstLine="397"/>
        <w:jc w:val="both"/>
        <w:bidi/>
      </w:pPr>
      <w:r>
        <w:t>يتحرك السؤال بين مفاهيم الوحدة والتعدد والبيان. ومن الضروري تحرير حدود كل مفهوم قبل إدخاله في الاستدلال؛ لأن الخلط بين الطبقات قد يحول قضية نقل إلى قضية عقيدة أو يحول توجيهاً نحوياً إلى نص منزل.</w:t>
      </w:r>
    </w:p>
    <w:p>
      <w:pPr>
        <w:spacing w:line="283" w:lineRule="auto" w:after="80"/>
        <w:ind w:firstLine="397"/>
        <w:jc w:val="both"/>
        <w:bidi/>
      </w:pPr>
      <w:r>
        <w:t>يفصل الباب بين الوحدة والتنوع وبين الثبوت والتفسير، كما يفصل بين التلقي والاجتهاد وبين الحفظ والمراجعة. ولا يراد بهذا التفريق تفتيت علم القراءات، بل حماية كل سؤال من أن يجيب عنه دليل لا يخصه.</w:t>
      </w:r>
    </w:p>
    <w:p>
      <w:pPr>
        <w:spacing w:line="283" w:lineRule="auto" w:after="80"/>
        <w:ind w:firstLine="397"/>
        <w:jc w:val="both"/>
        <w:bidi/>
      </w:pPr>
      <w:r>
        <w:t>تتجه النتيجة إلى نظرية جامعة وميثاق باحث. فإذا لم ينتج التحليل معياراً يمكن لباحث آخر تطبيقه على قراءة جديدة، بقي وصفاً تاريخياً لا يحقق مقصد الأصول النظرية للتفسير.</w:t>
      </w:r>
    </w:p>
    <w:p>
      <w:pPr>
        <w:spacing w:line="283" w:lineRule="auto" w:after="80"/>
        <w:ind w:firstLine="397"/>
        <w:jc w:val="both"/>
        <w:bidi/>
      </w:pPr>
      <w:r>
        <w:t>تُربط كل نتيجة بحدودها: هل هي في ثبوت القراءة، أم في تفسيرها، أم في أثرها الدلالي، أم في حجيتها؟ ويُمنع استعمال لفظ «القراءة تدل» قبل تحديد أي قراءة وأي طريق وأي توجيه وأي سياق.</w:t>
      </w:r>
    </w:p>
    <w:p>
      <w:pPr>
        <w:pStyle w:val="Heading2"/>
        <w:spacing w:line="283" w:lineRule="auto" w:after="120"/>
        <w:jc w:val="right"/>
        <w:keepNext/>
        <w:bidi/>
      </w:pPr>
      <w:r>
        <w:t>التحرير المفهومي والتاريخي</w:t>
      </w:r>
    </w:p>
    <w:p>
      <w:pPr>
        <w:spacing w:line="283" w:lineRule="auto" w:after="80"/>
        <w:ind w:firstLine="397"/>
        <w:jc w:val="both"/>
        <w:bidi/>
      </w:pPr>
      <w:r>
        <w:t>يبدأ التحرير من الفصل بين الوحدة والتعدد، ثم يُعاد كل مصطلح إلى تاريخ استعماله في كتب القراءات والتفسير واللغة. فقد يتغير مدلول «الوجه» أو «الرواية» أو «الشاذ» بين مراحل ومدارس، ولا يجوز إسقاط تعريف متأخر على كل مادة مبكرة.</w:t>
      </w:r>
    </w:p>
    <w:p>
      <w:pPr>
        <w:spacing w:line="283" w:lineRule="auto" w:after="80"/>
        <w:ind w:firstLine="397"/>
        <w:jc w:val="both"/>
        <w:bidi/>
      </w:pPr>
      <w:r>
        <w:t>تكشف المقارنة بين الوحدة والتنوع والثبوت والتفسير أن كثيراً من النزاع ينشأ من اختلاف تعريف الوحدة نفسها. ولذلك يسجل المعجم المعنى التاريخي والمعنى التشغيلي المعتمد، ولا ينسب التعريف الجديد إلى المتقدمين.</w:t>
      </w:r>
    </w:p>
    <w:p>
      <w:pPr>
        <w:spacing w:line="283" w:lineRule="auto" w:after="80"/>
        <w:ind w:firstLine="397"/>
        <w:jc w:val="both"/>
        <w:bidi/>
      </w:pPr>
      <w:r>
        <w:t>تُقرأ نشأة المصطلح داخل مؤسسات التلقي: الأمصار والحلقات والمصاحف والاختيارات والكتب والمشيخات. وهذا يمنع اختزال التاريخ في أسماء القراء المشهورين وحدهم، ويعيد السؤال إلى مسارات النقل الفعلية.</w:t>
      </w:r>
    </w:p>
    <w:p>
      <w:pPr>
        <w:spacing w:line="283" w:lineRule="auto" w:after="80"/>
        <w:ind w:firstLine="397"/>
        <w:jc w:val="both"/>
        <w:bidi/>
      </w:pPr>
      <w:r>
        <w:t>من المخاطر هنا عصمة المدرسة وإغلاق باب البحث. ويُعالج ذلك بحفظ جميع الأقوال المعتبرة ودرجاتها، وبالتفريق بين وصف تاريخ العلم وبين تقرير ما يعتمد عليه المنهج البياني.</w:t>
      </w:r>
    </w:p>
    <w:p>
      <w:pPr>
        <w:spacing w:line="283" w:lineRule="auto" w:after="80"/>
        <w:ind w:firstLine="397"/>
        <w:jc w:val="both"/>
        <w:bidi/>
      </w:pPr>
      <w:r>
        <w:t>لا تكون الغاية هدم اصطلاحات علم القراءات، بل جعلها قابلة للترجمة إلى مصفوفة واضحة: ما الكيان؟ وما علاقته؟ وما مصدره؟ وما درجته؟ وما أثره التفسيري؟</w:t>
      </w:r>
    </w:p>
    <w:p>
      <w:pPr>
        <w:pStyle w:val="Heading2"/>
        <w:spacing w:line="283" w:lineRule="auto" w:after="120"/>
        <w:jc w:val="right"/>
        <w:keepNext/>
        <w:bidi/>
      </w:pPr>
      <w:r>
        <w:t>المادة وأدلة الثبوت</w:t>
      </w:r>
    </w:p>
    <w:p>
      <w:pPr>
        <w:spacing w:line="283" w:lineRule="auto" w:after="80"/>
        <w:ind w:firstLine="397"/>
        <w:jc w:val="both"/>
        <w:bidi/>
      </w:pPr>
      <w:r>
        <w:t>تعتمد المادة في هذا الباب على الوحدة والتعدد والبيان، لكن كل نوع من الدليل يملك وظيفةً مختلفة. فالنقل يثبت النسبة، والرسم يحدد إمكاناً كتابياً، والعربية تختبر وجهاً لسانياً، والتلقي التاريخي يفسر الانتشار، ولا يصح دمجها في معيار مبهم واحد.</w:t>
      </w:r>
    </w:p>
    <w:p>
      <w:pPr>
        <w:spacing w:line="283" w:lineRule="auto" w:after="80"/>
        <w:ind w:firstLine="397"/>
        <w:jc w:val="both"/>
        <w:bidi/>
      </w:pPr>
      <w:r>
        <w:t>يجب أن تُذكر طرق القراءة ورواياتها ووجوهها بقدر الحاجة، مع الانتباه إلى أن كثرة الطرق المتأخرة لا تثبت وحدها صورةً مبكرةً ما لم تُحلل الأصول المشتركة. كما يجب التمييز بين نقل الأداء وبين توجيه العلماء له.</w:t>
      </w:r>
    </w:p>
    <w:p>
      <w:pPr>
        <w:spacing w:line="283" w:lineRule="auto" w:after="80"/>
        <w:ind w:firstLine="397"/>
        <w:jc w:val="both"/>
        <w:bidi/>
      </w:pPr>
      <w:r>
        <w:t>يُختبر خطر رد التنوع بفرض حالةٍ توافق فيها القراءة العربية ولكن لا يثبت طريقها، وحالةٍ يثبت فيها الأداء وتكون العربية فيه أقل شيوعاً. يبين هذا الاختبار أن معياراً واحداً لا يستطيع حمل جميع أعباء الثبوت.</w:t>
      </w:r>
    </w:p>
    <w:p>
      <w:pPr>
        <w:spacing w:line="283" w:lineRule="auto" w:after="80"/>
        <w:ind w:firstLine="397"/>
        <w:jc w:val="both"/>
        <w:bidi/>
      </w:pPr>
      <w:r>
        <w:t>النتيجة المطلوبة هي برنامج مدونة، مع بيان درجة الثقة. ولا تُستخدم ألفاظ القطع والتواتر والشذوذ بلا تعريف معلن يبين وحدة القياس والزمن والمجال.</w:t>
      </w:r>
    </w:p>
    <w:p>
      <w:pPr>
        <w:spacing w:line="283" w:lineRule="auto" w:after="80"/>
        <w:ind w:firstLine="397"/>
        <w:jc w:val="both"/>
        <w:bidi/>
      </w:pPr>
      <w:r>
        <w:t>تُحفظ المادة المخالفة: الأقوال في نسبة القراءة، واختلاف طرقها، وملاحظات الرسم، واعتراضات النحاة، حتى يستطيع المراجع إعادة بناء الحكم من دون الاعتماد على خلاصة المؤلف.</w:t>
      </w:r>
    </w:p>
    <w:p>
      <w:pPr>
        <w:pStyle w:val="Heading2"/>
        <w:spacing w:line="283" w:lineRule="auto" w:after="120"/>
        <w:jc w:val="right"/>
        <w:keepNext/>
        <w:bidi/>
      </w:pPr>
      <w:r>
        <w:t>الأثر البياني والتفسيري</w:t>
      </w:r>
    </w:p>
    <w:p>
      <w:pPr>
        <w:spacing w:line="283" w:lineRule="auto" w:after="80"/>
        <w:ind w:firstLine="397"/>
        <w:jc w:val="both"/>
        <w:bidi/>
      </w:pPr>
      <w:r>
        <w:t>الأثر البياني يُحلل على مستويات: صوتي وصرفي ونحوي ومعجمي وتركيبي ومفهومي وسياقي. ولا يكفي أن يختلف اللفظ حتى يقال إن المعنى اختلف؛ فقد يكون الاختلاف أداءً لا يغير الدعوى، أو يضيف ظلاً بلاغياً لا حكماً جديداً.</w:t>
      </w:r>
    </w:p>
    <w:p>
      <w:pPr>
        <w:spacing w:line="283" w:lineRule="auto" w:after="80"/>
        <w:ind w:firstLine="397"/>
        <w:jc w:val="both"/>
        <w:bidi/>
      </w:pPr>
      <w:r>
        <w:t>يرتبط الميزان بـالميثاق من خلال السياق والشبكة. فقد يكون الوجه الدلالي صحيحاً في المعجم لكنه لا يعمل في السورة، أو يكون ممكناً نحوياً لكنه يضعف أمام المحكمات والتصريف.</w:t>
      </w:r>
    </w:p>
    <w:p>
      <w:pPr>
        <w:spacing w:line="283" w:lineRule="auto" w:after="80"/>
        <w:ind w:firstLine="397"/>
        <w:jc w:val="both"/>
        <w:bidi/>
      </w:pPr>
      <w:r>
        <w:t>عند اختلاف المعنى يُصاغ لكل قراءة أثر مستقل، ثم تُختبر علاقته بالأثر الآخر: تكامل أو توسيع أو تقييد أو تنويع أو تغاير. ولا يُفترض التضاد قبل تحديد الدعوى المشتركة التي وقع عليها الاختلاف.</w:t>
      </w:r>
    </w:p>
    <w:p>
      <w:pPr>
        <w:spacing w:line="283" w:lineRule="auto" w:after="80"/>
        <w:ind w:firstLine="397"/>
        <w:jc w:val="both"/>
        <w:bidi/>
      </w:pPr>
      <w:r>
        <w:t>تخدم النتيجة نظرية جامعة ومراجعة مستمرة. ويجب أن تبين ما لا تثبته القراءة أيضاً؛ فقراءة ذات أثر نحوي لا تثبت وحدها أصلاً عقدياً، وقراءة ذات أثر فقهي لا تلغي بقية الأدلة.</w:t>
      </w:r>
    </w:p>
    <w:p>
      <w:pPr>
        <w:spacing w:line="283" w:lineRule="auto" w:after="80"/>
        <w:ind w:firstLine="397"/>
        <w:jc w:val="both"/>
        <w:bidi/>
      </w:pPr>
      <w:r>
        <w:t>تدخل القراءة بعد ذلك في النظام المفهومي والشبكي للقرآن، فتُقارن بالمحكمات والسياق ووظائف الآيات، لا بوصفها دليلاً منعزلاً عن بقية البيان.</w:t>
      </w:r>
    </w:p>
    <w:p>
      <w:pPr>
        <w:pStyle w:val="Heading2"/>
        <w:spacing w:line="283" w:lineRule="auto" w:after="120"/>
        <w:jc w:val="right"/>
        <w:keepNext/>
        <w:bidi/>
      </w:pPr>
      <w:r>
        <w:t>مواطن الخلل والفرضيات المنافسة</w:t>
      </w:r>
    </w:p>
    <w:p>
      <w:pPr>
        <w:spacing w:line="283" w:lineRule="auto" w:after="80"/>
        <w:ind w:firstLine="397"/>
        <w:jc w:val="both"/>
        <w:bidi/>
      </w:pPr>
      <w:r>
        <w:t>من أبرز المخاطر عصمة المدرسة وإغلاق باب البحث. وينشأ الأول حين تُنتقى القراءة التي تناسب نتيجةً سابقة، وينشأ الثاني حين تتحول قراءة أو توجيه إلى معيار لمذهب كامل. العلاج هو جمع جميع القراءات ذات الصلة قبل صياغة الحكم.</w:t>
      </w:r>
    </w:p>
    <w:p>
      <w:pPr>
        <w:spacing w:line="283" w:lineRule="auto" w:after="80"/>
        <w:ind w:firstLine="397"/>
        <w:jc w:val="both"/>
        <w:bidi/>
      </w:pPr>
      <w:r>
        <w:t>كما يجب اختبار رد التنوع وتقديس التوجيه. ويُبنى لذلك تفسير منافس يستعمل القراءة نفسها في سياق مختلف، ثم تُقارن القدرة التفسيرية والاتساق مع السورة والمحكمات.</w:t>
      </w:r>
    </w:p>
    <w:p>
      <w:pPr>
        <w:spacing w:line="283" w:lineRule="auto" w:after="80"/>
        <w:ind w:firstLine="397"/>
        <w:jc w:val="both"/>
        <w:bidi/>
      </w:pPr>
      <w:r>
        <w:t>قد يكون الخلل في نسبة القراءة، أو في توجيهها، أو في تحويل الأثر اللغوي إلى حكم أوسع. ولهذا لا تستخدم كلمة «باطل» أو «صحيح» بلا تعيين طبقة الحكم.</w:t>
      </w:r>
    </w:p>
    <w:p>
      <w:pPr>
        <w:spacing w:line="283" w:lineRule="auto" w:after="80"/>
        <w:ind w:firstLine="397"/>
        <w:jc w:val="both"/>
        <w:bidi/>
      </w:pPr>
      <w:r>
        <w:t>تُعامل القراءات غير المشهورة بحذر مزدوج: لا تُرفع إلى مرتبة القرآن الثابت بلا حجة، ولا تُمحى قيمتها التاريخية أو اللغوية لمجرد وصفها الاصطلاحي. ويُذكر مجال الاستفادة الممكن.</w:t>
      </w:r>
    </w:p>
    <w:p>
      <w:pPr>
        <w:spacing w:line="283" w:lineRule="auto" w:after="80"/>
        <w:ind w:firstLine="397"/>
        <w:jc w:val="both"/>
        <w:bidi/>
      </w:pPr>
      <w:r>
        <w:t>يبقى التوقف مشروعاً عند تعارض القرائن أو نقص الطريق، ولا يُعد فشلاً في المنهج؛ لأن منع القول على القرآن بغير علم مقدم على إنتاج جواب لكل مسألة.</w:t>
      </w:r>
    </w:p>
    <w:p>
      <w:pPr>
        <w:pStyle w:val="Heading2"/>
        <w:spacing w:line="283" w:lineRule="auto" w:after="120"/>
        <w:jc w:val="right"/>
        <w:keepNext/>
        <w:bidi/>
      </w:pPr>
      <w:r>
        <w:t>التطبيقات والاختبارات</w:t>
      </w:r>
    </w:p>
    <w:p>
      <w:pPr>
        <w:spacing w:line="283" w:lineRule="auto" w:after="80"/>
        <w:ind w:firstLine="397"/>
        <w:jc w:val="both"/>
        <w:bidi/>
      </w:pPr>
      <w:r>
        <w:t>يُختبر الباب على موضع يجمع أكثر من قراءة ذات أثر، وعلى موضع يختلف فيه الأداء دون أثر دلالي جوهري، وعلى قراءة غير مشهورة ذات قيمة تفسيرية. وبذلك لا يُبنى المنهج من الحالات اللافتة وحدها.</w:t>
      </w:r>
    </w:p>
    <w:p>
      <w:pPr>
        <w:spacing w:line="283" w:lineRule="auto" w:after="80"/>
        <w:ind w:firstLine="397"/>
        <w:jc w:val="both"/>
        <w:bidi/>
      </w:pPr>
      <w:r>
        <w:t>تُسجل نتيجة الاختبار في صورة نظرية جامعة وبرنامج مدونة، مع ذكر القراءة والطريق والرسم والتوجيه والسياق ودرجة الثقة. وإذا اختلف الباحثون يُحفظ الخلاف ولا يُستبدل بمتوسط رقمي يخفيه.</w:t>
      </w:r>
    </w:p>
    <w:p>
      <w:pPr>
        <w:spacing w:line="283" w:lineRule="auto" w:after="80"/>
        <w:ind w:firstLine="397"/>
        <w:jc w:val="both"/>
        <w:bidi/>
      </w:pPr>
      <w:r>
        <w:t>يُعاد الاختبار على سورة كاملة في مواضع القراءات، ليتبين هل القراءة تؤثر في وحدة السورة أو شبكة المفهوم أو لا تتجاوز موضعها المحلي. وهذا يمنع تضخيم الأثر بسبب التركيز على كلمة واحدة.</w:t>
      </w:r>
    </w:p>
    <w:p>
      <w:pPr>
        <w:spacing w:line="283" w:lineRule="auto" w:after="80"/>
        <w:ind w:firstLine="397"/>
        <w:jc w:val="both"/>
        <w:bidi/>
      </w:pPr>
      <w:r>
        <w:t>تُقارن التوجيهات الموروثة بتوجيه بديل مبني على المدونة والسياق، ويُذكر ما يفسره كل توجيه وما يعجز عنه. ولا تكون جدة التوجيه سبباً في قبوله ولا قدمه سبباً في رفضه.</w:t>
      </w:r>
    </w:p>
    <w:p>
      <w:pPr>
        <w:spacing w:line="283" w:lineRule="auto" w:after="80"/>
        <w:ind w:firstLine="397"/>
        <w:jc w:val="both"/>
        <w:bidi/>
      </w:pPr>
      <w:r>
        <w:t>تُستخدم النتيجة لإصلاح قواعد التفسير: إذا كشفت القراءة أن قاعدة سابقة كانت أضيق أو أوسع من اللازم، عُدل إصدار القاعدة مع حفظ تاريخه.</w:t>
      </w:r>
    </w:p>
    <w:p>
      <w:pPr>
        <w:pStyle w:val="Heading2"/>
        <w:spacing w:line="283" w:lineRule="auto" w:after="120"/>
        <w:jc w:val="right"/>
        <w:keepNext/>
        <w:bidi/>
      </w:pPr>
      <w:r>
        <w:t>القواعد والنتائج</w:t>
      </w:r>
    </w:p>
    <w:p>
      <w:pPr>
        <w:spacing w:line="283" w:lineRule="auto" w:after="80"/>
        <w:ind w:firstLine="397"/>
        <w:jc w:val="both"/>
        <w:bidi/>
      </w:pPr>
      <w:r>
        <w:t>القاعدة الأولى: القراءات الثابتة وجوه في البيان المتلقى داخل وحدة القرآن، وتعمل بالتكامل مع الرسم واللغة والسياق والشبكة دون أن تتحول إلى نصوص مستقلة أو أدوات مذهبية. وتعمل هذه القاعدة في حدود الوحدة والتعدد ولا تُنقل إلى طبقة أخرى بلا تعليل.</w:t>
      </w:r>
    </w:p>
    <w:p>
      <w:pPr>
        <w:spacing w:line="283" w:lineRule="auto" w:after="80"/>
        <w:ind w:firstLine="397"/>
        <w:jc w:val="both"/>
        <w:bidi/>
      </w:pPr>
      <w:r>
        <w:t>القاعدة الثانية: يجب الفصل بين الوحدة والتنوع والثبوت والتفسير. فإذا اجتمعا ذُكرت علاقة الاجتماع، وإذا افترقا حُفظ حكم كل منهما.</w:t>
      </w:r>
    </w:p>
    <w:p>
      <w:pPr>
        <w:spacing w:line="283" w:lineRule="auto" w:after="80"/>
        <w:ind w:firstLine="397"/>
        <w:jc w:val="both"/>
        <w:bidi/>
      </w:pPr>
      <w:r>
        <w:t>القاعدة الثالثة: نظرية جامعة لا ينتج آلياً مراجعة مستمرة. ويجب بيان الجسر الاستدلالي من الثبوت إلى البيان ثم إلى الحجية.</w:t>
      </w:r>
    </w:p>
    <w:p>
      <w:pPr>
        <w:spacing w:line="283" w:lineRule="auto" w:after="80"/>
        <w:ind w:firstLine="397"/>
        <w:jc w:val="both"/>
        <w:bidi/>
      </w:pPr>
      <w:r>
        <w:t>القاعدة الرابعة: خطر عصمة المدرسة يُعالج بالمدونة الشاملة والمراجعة المستقلة، لا بحسن نية الباحث وحده.</w:t>
      </w:r>
    </w:p>
    <w:p>
      <w:pPr>
        <w:spacing w:line="283" w:lineRule="auto" w:after="80"/>
        <w:ind w:firstLine="397"/>
        <w:jc w:val="both"/>
        <w:bidi/>
      </w:pPr>
      <w:r>
        <w:t>القاعدة الخامسة: كل قراءة أو توجيه أو حكم يحمل مصدراً ودرجة ثقة وإصداراً، ويُفتح للتصحيح عند ظهور طريق أو نسخة أو حجة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الطبقة</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حد الوحدة والتعدد؟</w:t>
            </w:r>
          </w:p>
        </w:tc>
        <w:tc>
          <w:tcPr>
            <w:tcW w:type="dxa" w:w="2635"/>
            <w:vAlign w:val="center"/>
          </w:tcPr>
          <w:p>
            <w:pPr>
              <w:spacing w:line="283" w:lineRule="auto" w:after="0"/>
              <w:jc w:val="right"/>
              <w:bidi/>
            </w:pPr>
            <w:r>
              <w:rPr>
                <w:sz w:val="18"/>
              </w:rPr>
              <w:t>نظرية جامعة</w:t>
            </w:r>
          </w:p>
        </w:tc>
      </w:tr>
      <w:tr>
        <w:trPr>
          <w:cantSplit/>
        </w:trPr>
        <w:tc>
          <w:tcPr>
            <w:tcW w:type="dxa" w:w="2635"/>
            <w:vAlign w:val="center"/>
          </w:tcPr>
          <w:p>
            <w:pPr>
              <w:spacing w:line="283" w:lineRule="auto" w:after="0"/>
              <w:jc w:val="right"/>
              <w:bidi/>
            </w:pPr>
            <w:r>
              <w:rPr>
                <w:sz w:val="18"/>
              </w:rPr>
              <w:t>الثبوت</w:t>
            </w:r>
          </w:p>
        </w:tc>
        <w:tc>
          <w:tcPr>
            <w:tcW w:type="dxa" w:w="2635"/>
            <w:vAlign w:val="center"/>
          </w:tcPr>
          <w:p>
            <w:pPr>
              <w:spacing w:line="283" w:lineRule="auto" w:after="0"/>
              <w:jc w:val="right"/>
              <w:bidi/>
            </w:pPr>
            <w:r>
              <w:rPr>
                <w:sz w:val="18"/>
              </w:rPr>
              <w:t>ما نوع النقل ودرجته؟</w:t>
            </w:r>
          </w:p>
        </w:tc>
        <w:tc>
          <w:tcPr>
            <w:tcW w:type="dxa" w:w="2635"/>
            <w:vAlign w:val="center"/>
          </w:tcPr>
          <w:p>
            <w:pPr>
              <w:spacing w:line="283" w:lineRule="auto" w:after="0"/>
              <w:jc w:val="right"/>
              <w:bidi/>
            </w:pPr>
            <w:r>
              <w:rPr>
                <w:sz w:val="18"/>
              </w:rPr>
              <w:t>ميثاق باحث</w:t>
            </w:r>
          </w:p>
        </w:tc>
      </w:tr>
      <w:tr>
        <w:trPr>
          <w:cantSplit/>
        </w:trPr>
        <w:tc>
          <w:tcPr>
            <w:tcW w:type="dxa" w:w="2635"/>
            <w:vAlign w:val="center"/>
          </w:tcPr>
          <w:p>
            <w:pPr>
              <w:spacing w:line="283" w:lineRule="auto" w:after="0"/>
              <w:jc w:val="right"/>
              <w:bidi/>
            </w:pPr>
            <w:r>
              <w:rPr>
                <w:sz w:val="18"/>
              </w:rPr>
              <w:t>البيان</w:t>
            </w:r>
          </w:p>
        </w:tc>
        <w:tc>
          <w:tcPr>
            <w:tcW w:type="dxa" w:w="2635"/>
            <w:vAlign w:val="center"/>
          </w:tcPr>
          <w:p>
            <w:pPr>
              <w:spacing w:line="283" w:lineRule="auto" w:after="0"/>
              <w:jc w:val="right"/>
              <w:bidi/>
            </w:pPr>
            <w:r>
              <w:rPr>
                <w:sz w:val="18"/>
              </w:rPr>
              <w:t>ما أثر الاختلاف في المعنى؟</w:t>
            </w:r>
          </w:p>
        </w:tc>
        <w:tc>
          <w:tcPr>
            <w:tcW w:type="dxa" w:w="2635"/>
            <w:vAlign w:val="center"/>
          </w:tcPr>
          <w:p>
            <w:pPr>
              <w:spacing w:line="283" w:lineRule="auto" w:after="0"/>
              <w:jc w:val="right"/>
              <w:bidi/>
            </w:pPr>
            <w:r>
              <w:rPr>
                <w:sz w:val="18"/>
              </w:rPr>
              <w:t>برنامج مدونة</w:t>
            </w:r>
          </w:p>
        </w:tc>
      </w:tr>
      <w:tr>
        <w:trPr>
          <w:cantSplit/>
        </w:trPr>
        <w:tc>
          <w:tcPr>
            <w:tcW w:type="dxa" w:w="2635"/>
            <w:vAlign w:val="center"/>
          </w:tcPr>
          <w:p>
            <w:pPr>
              <w:spacing w:line="283" w:lineRule="auto" w:after="0"/>
              <w:jc w:val="right"/>
              <w:bidi/>
            </w:pPr>
            <w:r>
              <w:rPr>
                <w:sz w:val="18"/>
              </w:rPr>
              <w:t>الخطر</w:t>
            </w:r>
          </w:p>
        </w:tc>
        <w:tc>
          <w:tcPr>
            <w:tcW w:type="dxa" w:w="2635"/>
            <w:vAlign w:val="center"/>
          </w:tcPr>
          <w:p>
            <w:pPr>
              <w:spacing w:line="283" w:lineRule="auto" w:after="0"/>
              <w:jc w:val="right"/>
              <w:bidi/>
            </w:pPr>
            <w:r>
              <w:rPr>
                <w:sz w:val="18"/>
              </w:rPr>
              <w:t>كيف يمنع عصمة المدرسة؟</w:t>
            </w:r>
          </w:p>
        </w:tc>
        <w:tc>
          <w:tcPr>
            <w:tcW w:type="dxa" w:w="2635"/>
            <w:vAlign w:val="center"/>
          </w:tcPr>
          <w:p>
            <w:pPr>
              <w:spacing w:line="283" w:lineRule="auto" w:after="0"/>
              <w:jc w:val="right"/>
              <w:bidi/>
            </w:pPr>
            <w:r>
              <w:rPr>
                <w:sz w:val="18"/>
              </w:rPr>
              <w:t>قيد ومراجعة</w:t>
            </w:r>
          </w:p>
        </w:tc>
      </w:tr>
      <w:tr>
        <w:trPr>
          <w:cantSplit/>
        </w:trPr>
        <w:tc>
          <w:tcPr>
            <w:tcW w:type="dxa" w:w="2635"/>
            <w:vAlign w:val="center"/>
          </w:tcPr>
          <w:p>
            <w:pPr>
              <w:spacing w:line="283" w:lineRule="auto" w:after="0"/>
              <w:jc w:val="right"/>
              <w:bidi/>
            </w:pPr>
            <w:r>
              <w:rPr>
                <w:sz w:val="18"/>
              </w:rPr>
              <w:t>الحكم</w:t>
            </w:r>
          </w:p>
        </w:tc>
        <w:tc>
          <w:tcPr>
            <w:tcW w:type="dxa" w:w="2635"/>
            <w:vAlign w:val="center"/>
          </w:tcPr>
          <w:p>
            <w:pPr>
              <w:spacing w:line="283" w:lineRule="auto" w:after="0"/>
              <w:jc w:val="right"/>
              <w:bidi/>
            </w:pPr>
            <w:r>
              <w:rPr>
                <w:sz w:val="18"/>
              </w:rPr>
              <w:t>ما الذي تثبته القراءة؟</w:t>
            </w:r>
          </w:p>
        </w:tc>
        <w:tc>
          <w:tcPr>
            <w:tcW w:type="dxa" w:w="2635"/>
            <w:vAlign w:val="center"/>
          </w:tcPr>
          <w:p>
            <w:pPr>
              <w:spacing w:line="283" w:lineRule="auto" w:after="0"/>
              <w:jc w:val="right"/>
              <w:bidi/>
            </w:pPr>
            <w:r>
              <w:rPr>
                <w:sz w:val="18"/>
              </w:rPr>
              <w:t>مراجعة مستمرة</w:t>
            </w:r>
          </w:p>
        </w:tc>
      </w:tr>
      <w:tr>
        <w:trPr>
          <w:cantSplit/>
        </w:trPr>
        <w:tc>
          <w:tcPr>
            <w:tcW w:type="dxa" w:w="2635"/>
            <w:vAlign w:val="center"/>
          </w:tcPr>
          <w:p>
            <w:pPr>
              <w:spacing w:line="283" w:lineRule="auto" w:after="0"/>
              <w:jc w:val="right"/>
              <w:bidi/>
            </w:pPr>
            <w:r>
              <w:rPr>
                <w:sz w:val="18"/>
              </w:rPr>
              <w:t>الإصدار</w:t>
            </w:r>
          </w:p>
        </w:tc>
        <w:tc>
          <w:tcPr>
            <w:tcW w:type="dxa" w:w="2635"/>
            <w:vAlign w:val="center"/>
          </w:tcPr>
          <w:p>
            <w:pPr>
              <w:spacing w:line="283" w:lineRule="auto" w:after="0"/>
              <w:jc w:val="right"/>
              <w:bidi/>
            </w:pPr>
            <w:r>
              <w:rPr>
                <w:sz w:val="18"/>
              </w:rPr>
              <w:t>ما الذي قد يغير النتيجة؟</w:t>
            </w:r>
          </w:p>
        </w:tc>
        <w:tc>
          <w:tcPr>
            <w:tcW w:type="dxa" w:w="2635"/>
            <w:vAlign w:val="center"/>
          </w:tcPr>
          <w:p>
            <w:pPr>
              <w:spacing w:line="283" w:lineRule="auto" w:after="0"/>
              <w:jc w:val="right"/>
              <w:bidi/>
            </w:pPr>
            <w:r>
              <w:rPr>
                <w:sz w:val="18"/>
              </w:rPr>
              <w:t>سجل قابل للتصحيح</w:t>
            </w:r>
          </w:p>
        </w:tc>
      </w:tr>
    </w:tbl>
    <w:p/>
    <w:p>
      <w:r>
        <w:br w:type="page"/>
      </w:r>
    </w:p>
    <w:p>
      <w:pPr>
        <w:pStyle w:val="Heading1"/>
        <w:spacing w:line="283" w:lineRule="auto" w:after="120"/>
        <w:jc w:val="right"/>
        <w:keepNext/>
        <w:bidi/>
      </w:pPr>
      <w:r>
        <w:t>القسم التركيبي الأول: مراتب الاختلاف القرائي وأثره في البيان</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النوع</w:t>
            </w:r>
          </w:p>
        </w:tc>
        <w:tc>
          <w:tcPr>
            <w:tcW w:type="dxa" w:w="3952"/>
            <w:vAlign w:val="center"/>
          </w:tcPr>
          <w:p>
            <w:pPr>
              <w:spacing w:line="283" w:lineRule="auto" w:after="0"/>
              <w:jc w:val="center"/>
              <w:bidi/>
            </w:pPr>
            <w:r>
              <w:rPr>
                <w:b/>
                <w:sz w:val="19"/>
              </w:rPr>
              <w:t>الأثر الأولي</w:t>
            </w:r>
          </w:p>
        </w:tc>
      </w:tr>
      <w:tr>
        <w:trPr>
          <w:cantSplit/>
        </w:trPr>
        <w:tc>
          <w:tcPr>
            <w:tcW w:type="dxa" w:w="3952"/>
            <w:vAlign w:val="center"/>
          </w:tcPr>
          <w:p>
            <w:pPr>
              <w:spacing w:line="283" w:lineRule="auto" w:after="0"/>
              <w:jc w:val="right"/>
              <w:bidi/>
            </w:pPr>
            <w:r>
              <w:rPr>
                <w:sz w:val="19"/>
              </w:rPr>
              <w:t>أداء صوتي</w:t>
            </w:r>
          </w:p>
        </w:tc>
        <w:tc>
          <w:tcPr>
            <w:tcW w:type="dxa" w:w="3952"/>
            <w:vAlign w:val="center"/>
          </w:tcPr>
          <w:p>
            <w:pPr>
              <w:spacing w:line="283" w:lineRule="auto" w:after="0"/>
              <w:jc w:val="right"/>
              <w:bidi/>
            </w:pPr>
            <w:r>
              <w:rPr>
                <w:sz w:val="19"/>
              </w:rPr>
              <w:t>اختلاف نطق لا يغير البنية الصرفية ولا الدعوى الأساسية.</w:t>
            </w:r>
          </w:p>
        </w:tc>
      </w:tr>
      <w:tr>
        <w:trPr>
          <w:cantSplit/>
        </w:trPr>
        <w:tc>
          <w:tcPr>
            <w:tcW w:type="dxa" w:w="3952"/>
            <w:vAlign w:val="center"/>
          </w:tcPr>
          <w:p>
            <w:pPr>
              <w:spacing w:line="283" w:lineRule="auto" w:after="0"/>
              <w:jc w:val="right"/>
              <w:bidi/>
            </w:pPr>
            <w:r>
              <w:rPr>
                <w:sz w:val="19"/>
              </w:rPr>
              <w:t>تخفيف وتشديد</w:t>
            </w:r>
          </w:p>
        </w:tc>
        <w:tc>
          <w:tcPr>
            <w:tcW w:type="dxa" w:w="3952"/>
            <w:vAlign w:val="center"/>
          </w:tcPr>
          <w:p>
            <w:pPr>
              <w:spacing w:line="283" w:lineRule="auto" w:after="0"/>
              <w:jc w:val="right"/>
              <w:bidi/>
            </w:pPr>
            <w:r>
              <w:rPr>
                <w:sz w:val="19"/>
              </w:rPr>
              <w:t>قد يضيف معنى الكثرة أو التعدية أو الهيئة بحسب الموضع.</w:t>
            </w:r>
          </w:p>
        </w:tc>
      </w:tr>
      <w:tr>
        <w:trPr>
          <w:cantSplit/>
        </w:trPr>
        <w:tc>
          <w:tcPr>
            <w:tcW w:type="dxa" w:w="3952"/>
            <w:vAlign w:val="center"/>
          </w:tcPr>
          <w:p>
            <w:pPr>
              <w:spacing w:line="283" w:lineRule="auto" w:after="0"/>
              <w:jc w:val="right"/>
              <w:bidi/>
            </w:pPr>
            <w:r>
              <w:rPr>
                <w:sz w:val="19"/>
              </w:rPr>
              <w:t>إفراد وجمع</w:t>
            </w:r>
          </w:p>
        </w:tc>
        <w:tc>
          <w:tcPr>
            <w:tcW w:type="dxa" w:w="3952"/>
            <w:vAlign w:val="center"/>
          </w:tcPr>
          <w:p>
            <w:pPr>
              <w:spacing w:line="283" w:lineRule="auto" w:after="0"/>
              <w:jc w:val="right"/>
              <w:bidi/>
            </w:pPr>
            <w:r>
              <w:rPr>
                <w:sz w:val="19"/>
              </w:rPr>
              <w:t>قد يغير نطاق المرجع أو يوسع أفراد الحكم.</w:t>
            </w:r>
          </w:p>
        </w:tc>
      </w:tr>
      <w:tr>
        <w:trPr>
          <w:cantSplit/>
        </w:trPr>
        <w:tc>
          <w:tcPr>
            <w:tcW w:type="dxa" w:w="3952"/>
            <w:vAlign w:val="center"/>
          </w:tcPr>
          <w:p>
            <w:pPr>
              <w:spacing w:line="283" w:lineRule="auto" w:after="0"/>
              <w:jc w:val="right"/>
              <w:bidi/>
            </w:pPr>
            <w:r>
              <w:rPr>
                <w:sz w:val="19"/>
              </w:rPr>
              <w:t>تذكير وتأنيث</w:t>
            </w:r>
          </w:p>
        </w:tc>
        <w:tc>
          <w:tcPr>
            <w:tcW w:type="dxa" w:w="3952"/>
            <w:vAlign w:val="center"/>
          </w:tcPr>
          <w:p>
            <w:pPr>
              <w:spacing w:line="283" w:lineRule="auto" w:after="0"/>
              <w:jc w:val="right"/>
              <w:bidi/>
            </w:pPr>
            <w:r>
              <w:rPr>
                <w:sz w:val="19"/>
              </w:rPr>
              <w:t>قد يغير مرجع الضمير أو بنية الإسناد.</w:t>
            </w:r>
          </w:p>
        </w:tc>
      </w:tr>
      <w:tr>
        <w:trPr>
          <w:cantSplit/>
        </w:trPr>
        <w:tc>
          <w:tcPr>
            <w:tcW w:type="dxa" w:w="3952"/>
            <w:vAlign w:val="center"/>
          </w:tcPr>
          <w:p>
            <w:pPr>
              <w:spacing w:line="283" w:lineRule="auto" w:after="0"/>
              <w:jc w:val="right"/>
              <w:bidi/>
            </w:pPr>
            <w:r>
              <w:rPr>
                <w:sz w:val="19"/>
              </w:rPr>
              <w:t>بناء للفاعل والمفعول</w:t>
            </w:r>
          </w:p>
        </w:tc>
        <w:tc>
          <w:tcPr>
            <w:tcW w:type="dxa" w:w="3952"/>
            <w:vAlign w:val="center"/>
          </w:tcPr>
          <w:p>
            <w:pPr>
              <w:spacing w:line="283" w:lineRule="auto" w:after="0"/>
              <w:jc w:val="right"/>
              <w:bidi/>
            </w:pPr>
            <w:r>
              <w:rPr>
                <w:sz w:val="19"/>
              </w:rPr>
              <w:t>قد يغير زاوية الحدث مع بقاء أصل الواقعة.</w:t>
            </w:r>
          </w:p>
        </w:tc>
      </w:tr>
      <w:tr>
        <w:trPr>
          <w:cantSplit/>
        </w:trPr>
        <w:tc>
          <w:tcPr>
            <w:tcW w:type="dxa" w:w="3952"/>
            <w:vAlign w:val="center"/>
          </w:tcPr>
          <w:p>
            <w:pPr>
              <w:spacing w:line="283" w:lineRule="auto" w:after="0"/>
              <w:jc w:val="right"/>
              <w:bidi/>
            </w:pPr>
            <w:r>
              <w:rPr>
                <w:sz w:val="19"/>
              </w:rPr>
              <w:t>حركة إعرابية</w:t>
            </w:r>
          </w:p>
        </w:tc>
        <w:tc>
          <w:tcPr>
            <w:tcW w:type="dxa" w:w="3952"/>
            <w:vAlign w:val="center"/>
          </w:tcPr>
          <w:p>
            <w:pPr>
              <w:spacing w:line="283" w:lineRule="auto" w:after="0"/>
              <w:jc w:val="right"/>
              <w:bidi/>
            </w:pPr>
            <w:r>
              <w:rPr>
                <w:sz w:val="19"/>
              </w:rPr>
              <w:t>قد تغير الوظيفة النحوية والعلاقة بين الجمل.</w:t>
            </w:r>
          </w:p>
        </w:tc>
      </w:tr>
      <w:tr>
        <w:trPr>
          <w:cantSplit/>
        </w:trPr>
        <w:tc>
          <w:tcPr>
            <w:tcW w:type="dxa" w:w="3952"/>
            <w:vAlign w:val="center"/>
          </w:tcPr>
          <w:p>
            <w:pPr>
              <w:spacing w:line="283" w:lineRule="auto" w:after="0"/>
              <w:jc w:val="right"/>
              <w:bidi/>
            </w:pPr>
            <w:r>
              <w:rPr>
                <w:sz w:val="19"/>
              </w:rPr>
              <w:t>حرف أو أداة</w:t>
            </w:r>
          </w:p>
        </w:tc>
        <w:tc>
          <w:tcPr>
            <w:tcW w:type="dxa" w:w="3952"/>
            <w:vAlign w:val="center"/>
          </w:tcPr>
          <w:p>
            <w:pPr>
              <w:spacing w:line="283" w:lineRule="auto" w:after="0"/>
              <w:jc w:val="right"/>
              <w:bidi/>
            </w:pPr>
            <w:r>
              <w:rPr>
                <w:sz w:val="19"/>
              </w:rPr>
              <w:t>قد تغير الشرط أو العطف أو الاستفهام أو النفي.</w:t>
            </w:r>
          </w:p>
        </w:tc>
      </w:tr>
      <w:tr>
        <w:trPr>
          <w:cantSplit/>
        </w:trPr>
        <w:tc>
          <w:tcPr>
            <w:tcW w:type="dxa" w:w="3952"/>
            <w:vAlign w:val="center"/>
          </w:tcPr>
          <w:p>
            <w:pPr>
              <w:spacing w:line="283" w:lineRule="auto" w:after="0"/>
              <w:jc w:val="right"/>
              <w:bidi/>
            </w:pPr>
            <w:r>
              <w:rPr>
                <w:sz w:val="19"/>
              </w:rPr>
              <w:t>لفظ بديل ثابت</w:t>
            </w:r>
          </w:p>
        </w:tc>
        <w:tc>
          <w:tcPr>
            <w:tcW w:type="dxa" w:w="3952"/>
            <w:vAlign w:val="center"/>
          </w:tcPr>
          <w:p>
            <w:pPr>
              <w:spacing w:line="283" w:lineRule="auto" w:after="0"/>
              <w:jc w:val="right"/>
              <w:bidi/>
            </w:pPr>
            <w:r>
              <w:rPr>
                <w:sz w:val="19"/>
              </w:rPr>
              <w:t>قد يضيف بعداً معجمياً أو تفسيرياً أقوى.</w:t>
            </w:r>
          </w:p>
        </w:tc>
      </w:tr>
      <w:tr>
        <w:trPr>
          <w:cantSplit/>
        </w:trPr>
        <w:tc>
          <w:tcPr>
            <w:tcW w:type="dxa" w:w="3952"/>
            <w:vAlign w:val="center"/>
          </w:tcPr>
          <w:p>
            <w:pPr>
              <w:spacing w:line="283" w:lineRule="auto" w:after="0"/>
              <w:jc w:val="right"/>
              <w:bidi/>
            </w:pPr>
            <w:r>
              <w:rPr>
                <w:sz w:val="19"/>
              </w:rPr>
              <w:t>وصل ووقف</w:t>
            </w:r>
          </w:p>
        </w:tc>
        <w:tc>
          <w:tcPr>
            <w:tcW w:type="dxa" w:w="3952"/>
            <w:vAlign w:val="center"/>
          </w:tcPr>
          <w:p>
            <w:pPr>
              <w:spacing w:line="283" w:lineRule="auto" w:after="0"/>
              <w:jc w:val="right"/>
              <w:bidi/>
            </w:pPr>
            <w:r>
              <w:rPr>
                <w:sz w:val="19"/>
              </w:rPr>
              <w:t>قد يؤثر في تجزئة الجملة والدلالة بحسب ثبوت الأداء.</w:t>
            </w:r>
          </w:p>
        </w:tc>
      </w:tr>
      <w:tr>
        <w:trPr>
          <w:cantSplit/>
        </w:trPr>
        <w:tc>
          <w:tcPr>
            <w:tcW w:type="dxa" w:w="3952"/>
            <w:vAlign w:val="center"/>
          </w:tcPr>
          <w:p>
            <w:pPr>
              <w:spacing w:line="283" w:lineRule="auto" w:after="0"/>
              <w:jc w:val="right"/>
              <w:bidi/>
            </w:pPr>
            <w:r>
              <w:rPr>
                <w:sz w:val="19"/>
              </w:rPr>
              <w:t>إمالة ومد وصوتيات</w:t>
            </w:r>
          </w:p>
        </w:tc>
        <w:tc>
          <w:tcPr>
            <w:tcW w:type="dxa" w:w="3952"/>
            <w:vAlign w:val="center"/>
          </w:tcPr>
          <w:p>
            <w:pPr>
              <w:spacing w:line="283" w:lineRule="auto" w:after="0"/>
              <w:jc w:val="right"/>
              <w:bidi/>
            </w:pPr>
            <w:r>
              <w:rPr>
                <w:sz w:val="19"/>
              </w:rPr>
              <w:t>غالباً أدائية، وقد تحمل آثاراً لهجية وتلقيّة من غير معنى مستقل.</w:t>
            </w:r>
          </w:p>
        </w:tc>
      </w:tr>
      <w:tr>
        <w:trPr>
          <w:cantSplit/>
        </w:trPr>
        <w:tc>
          <w:tcPr>
            <w:tcW w:type="dxa" w:w="3952"/>
            <w:vAlign w:val="center"/>
          </w:tcPr>
          <w:p>
            <w:pPr>
              <w:spacing w:line="283" w:lineRule="auto" w:after="0"/>
              <w:jc w:val="right"/>
              <w:bidi/>
            </w:pPr>
            <w:r>
              <w:rPr>
                <w:sz w:val="19"/>
              </w:rPr>
              <w:t>همز وتسهيل</w:t>
            </w:r>
          </w:p>
        </w:tc>
        <w:tc>
          <w:tcPr>
            <w:tcW w:type="dxa" w:w="3952"/>
            <w:vAlign w:val="center"/>
          </w:tcPr>
          <w:p>
            <w:pPr>
              <w:spacing w:line="283" w:lineRule="auto" w:after="0"/>
              <w:jc w:val="right"/>
              <w:bidi/>
            </w:pPr>
            <w:r>
              <w:rPr>
                <w:sz w:val="19"/>
              </w:rPr>
              <w:t>أداء صوتي في الغالب، ويحتاج إلى منع التضخيم الدلالي.</w:t>
            </w:r>
          </w:p>
        </w:tc>
      </w:tr>
      <w:tr>
        <w:trPr>
          <w:cantSplit/>
        </w:trPr>
        <w:tc>
          <w:tcPr>
            <w:tcW w:type="dxa" w:w="3952"/>
            <w:vAlign w:val="center"/>
          </w:tcPr>
          <w:p>
            <w:pPr>
              <w:spacing w:line="283" w:lineRule="auto" w:after="0"/>
              <w:jc w:val="right"/>
              <w:bidi/>
            </w:pPr>
            <w:r>
              <w:rPr>
                <w:sz w:val="19"/>
              </w:rPr>
              <w:t>إدغام وإظهار</w:t>
            </w:r>
          </w:p>
        </w:tc>
        <w:tc>
          <w:tcPr>
            <w:tcW w:type="dxa" w:w="3952"/>
            <w:vAlign w:val="center"/>
          </w:tcPr>
          <w:p>
            <w:pPr>
              <w:spacing w:line="283" w:lineRule="auto" w:after="0"/>
              <w:jc w:val="right"/>
              <w:bidi/>
            </w:pPr>
            <w:r>
              <w:rPr>
                <w:sz w:val="19"/>
              </w:rPr>
              <w:t>أداء متلقى، وأثره التفسيري محدود إلا بقرينة.</w:t>
            </w:r>
          </w:p>
        </w:tc>
      </w:tr>
    </w:tbl>
    <w:p/>
    <w:p>
      <w:pPr>
        <w:pStyle w:val="Heading2"/>
        <w:spacing w:line="283" w:lineRule="auto" w:after="120"/>
        <w:jc w:val="right"/>
        <w:keepNext/>
        <w:bidi/>
      </w:pPr>
      <w:r>
        <w:t>أداء صوتي</w:t>
      </w:r>
    </w:p>
    <w:p>
      <w:pPr>
        <w:spacing w:line="283" w:lineRule="auto" w:after="80"/>
        <w:ind w:firstLine="397"/>
        <w:jc w:val="both"/>
        <w:bidi/>
      </w:pPr>
      <w:r>
        <w:t>اختلاف نطق لا يغير البنية الصرفية ولا الدعوى الأساسية.</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تخفيف وتشديد</w:t>
      </w:r>
    </w:p>
    <w:p>
      <w:pPr>
        <w:spacing w:line="283" w:lineRule="auto" w:after="80"/>
        <w:ind w:firstLine="397"/>
        <w:jc w:val="both"/>
        <w:bidi/>
      </w:pPr>
      <w:r>
        <w:t>قد يضيف معنى الكثرة أو التعدية أو الهيئة بحسب الموضع.</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إفراد وجمع</w:t>
      </w:r>
    </w:p>
    <w:p>
      <w:pPr>
        <w:spacing w:line="283" w:lineRule="auto" w:after="80"/>
        <w:ind w:firstLine="397"/>
        <w:jc w:val="both"/>
        <w:bidi/>
      </w:pPr>
      <w:r>
        <w:t>قد يغير نطاق المرجع أو يوسع أفراد الحكم.</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تذكير وتأنيث</w:t>
      </w:r>
    </w:p>
    <w:p>
      <w:pPr>
        <w:spacing w:line="283" w:lineRule="auto" w:after="80"/>
        <w:ind w:firstLine="397"/>
        <w:jc w:val="both"/>
        <w:bidi/>
      </w:pPr>
      <w:r>
        <w:t>قد يغير مرجع الضمير أو بنية الإسناد.</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بناء للفاعل والمفعول</w:t>
      </w:r>
    </w:p>
    <w:p>
      <w:pPr>
        <w:spacing w:line="283" w:lineRule="auto" w:after="80"/>
        <w:ind w:firstLine="397"/>
        <w:jc w:val="both"/>
        <w:bidi/>
      </w:pPr>
      <w:r>
        <w:t>قد يغير زاوية الحدث مع بقاء أصل الواقعة.</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حركة إعرابية</w:t>
      </w:r>
    </w:p>
    <w:p>
      <w:pPr>
        <w:spacing w:line="283" w:lineRule="auto" w:after="80"/>
        <w:ind w:firstLine="397"/>
        <w:jc w:val="both"/>
        <w:bidi/>
      </w:pPr>
      <w:r>
        <w:t>قد تغير الوظيفة النحوية والعلاقة بين الجمل.</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حرف أو أداة</w:t>
      </w:r>
    </w:p>
    <w:p>
      <w:pPr>
        <w:spacing w:line="283" w:lineRule="auto" w:after="80"/>
        <w:ind w:firstLine="397"/>
        <w:jc w:val="both"/>
        <w:bidi/>
      </w:pPr>
      <w:r>
        <w:t>قد تغير الشرط أو العطف أو الاستفهام أو النفي.</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لفظ بديل ثابت</w:t>
      </w:r>
    </w:p>
    <w:p>
      <w:pPr>
        <w:spacing w:line="283" w:lineRule="auto" w:after="80"/>
        <w:ind w:firstLine="397"/>
        <w:jc w:val="both"/>
        <w:bidi/>
      </w:pPr>
      <w:r>
        <w:t>قد يضيف بعداً معجمياً أو تفسيرياً أقوى.</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وصل ووقف</w:t>
      </w:r>
    </w:p>
    <w:p>
      <w:pPr>
        <w:spacing w:line="283" w:lineRule="auto" w:after="80"/>
        <w:ind w:firstLine="397"/>
        <w:jc w:val="both"/>
        <w:bidi/>
      </w:pPr>
      <w:r>
        <w:t>قد يؤثر في تجزئة الجملة والدلالة بحسب ثبوت الأداء.</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إمالة ومد وصوتيات</w:t>
      </w:r>
    </w:p>
    <w:p>
      <w:pPr>
        <w:spacing w:line="283" w:lineRule="auto" w:after="80"/>
        <w:ind w:firstLine="397"/>
        <w:jc w:val="both"/>
        <w:bidi/>
      </w:pPr>
      <w:r>
        <w:t>غالباً أدائية، وقد تحمل آثاراً لهجية وتلقيّة من غير معنى مستقل.</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همز وتسهيل</w:t>
      </w:r>
    </w:p>
    <w:p>
      <w:pPr>
        <w:spacing w:line="283" w:lineRule="auto" w:after="80"/>
        <w:ind w:firstLine="397"/>
        <w:jc w:val="both"/>
        <w:bidi/>
      </w:pPr>
      <w:r>
        <w:t>أداء صوتي في الغالب، ويحتاج إلى منع التضخيم الدلالي.</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pPr>
        <w:pStyle w:val="Heading2"/>
        <w:spacing w:line="283" w:lineRule="auto" w:after="120"/>
        <w:jc w:val="right"/>
        <w:keepNext/>
        <w:bidi/>
      </w:pPr>
      <w:r>
        <w:t>إدغام وإظهار</w:t>
      </w:r>
    </w:p>
    <w:p>
      <w:pPr>
        <w:spacing w:line="283" w:lineRule="auto" w:after="80"/>
        <w:ind w:firstLine="397"/>
        <w:jc w:val="both"/>
        <w:bidi/>
      </w:pPr>
      <w:r>
        <w:t>أداء متلقى، وأثره التفسيري محدود إلا بقرينة.</w:t>
      </w:r>
    </w:p>
    <w:p>
      <w:pPr>
        <w:spacing w:line="283" w:lineRule="auto" w:after="80"/>
        <w:ind w:firstLine="397"/>
        <w:jc w:val="both"/>
        <w:bidi/>
      </w:pPr>
      <w:r>
        <w:t>يُختبر الأثر في الموضع والسياق والسورة، ويُذكر هل يتغير أصل الدعوى أم يتغير الظل البلاغي أو زاوية الإسناد فقط. ولا يُنشأ فرق دلالي لمجرد إمكان الشرح.</w:t>
      </w:r>
    </w:p>
    <w:p>
      <w:pPr>
        <w:spacing w:line="283" w:lineRule="auto" w:after="80"/>
        <w:ind w:firstLine="397"/>
        <w:jc w:val="both"/>
        <w:bidi/>
      </w:pPr>
      <w:r>
        <w:t>إذا أدى الاختلاف إلى نتيجتين يمكن اجتماعهما، سُجلتا بوصفهما توسيعاً للبيان. وإذا تعذر الاجتماع حُدد محل التغاير، ثم انتقل البحث إلى الجمع أو الترجيح بين التوجيهات مع حفظ ثبوت القراءة.</w:t>
      </w:r>
    </w:p>
    <w:p>
      <w:r>
        <w:br w:type="page"/>
      </w:r>
    </w:p>
    <w:p>
      <w:pPr>
        <w:pStyle w:val="Heading1"/>
        <w:spacing w:line="283" w:lineRule="auto" w:after="120"/>
        <w:jc w:val="right"/>
        <w:keepNext/>
        <w:bidi/>
      </w:pPr>
      <w:r>
        <w:t>القسم التركيبي الثاني: الأربعون قاعدة في القراءات والتفسير</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القرآن المنزل واحد، وتعدد القراءات الثابتة تعدد في الأداء والبيان داخل وحدته.</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افصل القرآن من المصحف والقراءة والرواية والطريق والوجه.</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لا تنسب وجهاً إلى قارئ من غير ضبط طريقه.</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الثبوت يسبق التوجيه التفسيري.</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موافقة العربية لا تصحح قراءة بلا نقل.</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موافقة الرسم لا تنشئ قراءة بلا تلقي.</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الشهرة المتأخرة ليست بديلاً عن فحص تاريخ النقل.</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لا تُرد قراءة ثابتة لأنها تخالف توجيهاً نحوياً مفضلاً.</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لا ينتج كل اختلاف أداء اختلاف معنى.</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الاختلاف الصرفي يحتاج إلى تحليل الوظيفة لا المعجم فقط.</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الإعراب وجه تفسيري مرتبط بالقراءة والسياق.</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مرجع الضمير يحدد داخل بنية الجملة والسورة.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اختبر إمكان التكامل قبل ادعاء التعارض.</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اختلاف التنوع لا يحتاج إلى ترجيح إلغائي.</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الترجيح يكون بين التوجيهات إذا ثبتت القراءات.</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لا تجعل القراءة الثابتة أداةً لإلغاء قراءة ثابتة أخرى.</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يجوز أن توسع القراءات مجال المفهوم من غير أن تلغي مركزه.</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تدخل القراءات في الشبكة بعد تثبيت أثرها المحلي.</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السورة تحكم أثر القراءة في موضعها.</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المحكمات تضبط توجيه القراءات المحتملة.</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لا تُستخدم قراءة محتملة لتأسيس عقيدة مستقلة.</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الحكم الفقهي يحتاج إلى جمع القراءات مع بقية الأدلة والأصول.</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سبب النزول لا يصحح القراءة ولا يحصر أثرها بذاته.</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التوجيه المأثور يختلف عن نص القراءة.</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القراءات غير المشهورة تُقوَّم وظيفياً ولا تُسوّى جميعاً.</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الشاذ اصطلاح يحتاج إلى تعريف ولا يساوي الباطل في كل استعمال.</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لا تستخدم القراءة لإثبات لهجة أو تاريخ بلا قرائن إضافية.</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احفظ الأقوال المخالفة في الثبوت والتوجيه.</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اعرض جميع القراءات ذات الصلة قبل بناء النتيجة.</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لا تنتق القراءة الموافقة للمذهب وتخفي غيرها.</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أعلن إذا كان الأثر الدلالي معدوماً أو محدوداً.</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اختبر تفسيراً منافساً للقراءة نفسها.</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اخفض الجزم عند تعدد التوجيهات المتقاربة.</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التوقف مشروع إذا لم يثبت الطريق أو لم يتعين الأثر.</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النظام الحاسوبي يقارن ويقترح ولا يحكم بقرآنية الوجه.</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كل قراءة في المدونة تحمل معرفاً وطريقاً ورسمًا وتوجيهاً وإصداراً.</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كل حكم تفسيري يذكر ما يثبته وما لا يثبته.</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تُراجع القواعد إذا كشفت القراءات استثناءً أو توسيعاً.</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المعيار نفسه يطبق على قراءة المدرسة القريبة والبعيدة.</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تبقى حاكمية القرآن والبيان والقسط فوق الاختيار المذهبي واللغوي.</w:t>
            </w:r>
          </w:p>
        </w:tc>
      </w:tr>
    </w:tbl>
    <w:p/>
    <w:p>
      <w:pPr>
        <w:spacing w:line="283" w:lineRule="auto" w:after="80"/>
        <w:ind w:firstLine="397"/>
        <w:jc w:val="both"/>
        <w:bidi/>
      </w:pPr>
      <w:r>
        <w:t>القاعدة 1: القرآن المنزل واحد، وتعدد القراءات الثابتة تعدد في الأداء والبيان داخل وحدته. وتدخل في بروتوكول تحليل القراءة، ولا تُستعمل منفردةً لإنتاج حكم من غير بقية الموازين.</w:t>
      </w:r>
    </w:p>
    <w:p>
      <w:pPr>
        <w:spacing w:line="283" w:lineRule="auto" w:after="80"/>
        <w:ind w:firstLine="397"/>
        <w:jc w:val="both"/>
        <w:bidi/>
      </w:pPr>
      <w:r>
        <w:t>القاعدة 2: افصل القرآن من المصحف والقراءة والرواية والطريق والوجه. وتدخل في بروتوكول تحليل القراءة، ولا تُستعمل منفردةً لإنتاج حكم من غير بقية الموازين.</w:t>
      </w:r>
    </w:p>
    <w:p>
      <w:pPr>
        <w:spacing w:line="283" w:lineRule="auto" w:after="80"/>
        <w:ind w:firstLine="397"/>
        <w:jc w:val="both"/>
        <w:bidi/>
      </w:pPr>
      <w:r>
        <w:t>القاعدة 3: لا تنسب وجهاً إلى قارئ من غير ضبط طريقه. وتدخل في بروتوكول تحليل القراءة، ولا تُستعمل منفردةً لإنتاج حكم من غير بقية الموازين.</w:t>
      </w:r>
    </w:p>
    <w:p>
      <w:pPr>
        <w:spacing w:line="283" w:lineRule="auto" w:after="80"/>
        <w:ind w:firstLine="397"/>
        <w:jc w:val="both"/>
        <w:bidi/>
      </w:pPr>
      <w:r>
        <w:t>القاعدة 4: الثبوت يسبق التوجيه التفسيري. وتدخل في بروتوكول تحليل القراءة، ولا تُستعمل منفردةً لإنتاج حكم من غير بقية الموازين.</w:t>
      </w:r>
    </w:p>
    <w:p>
      <w:pPr>
        <w:spacing w:line="283" w:lineRule="auto" w:after="80"/>
        <w:ind w:firstLine="397"/>
        <w:jc w:val="both"/>
        <w:bidi/>
      </w:pPr>
      <w:r>
        <w:t>القاعدة 5: موافقة العربية لا تصحح قراءة بلا نقل. وتدخل في بروتوكول تحليل القراءة، ولا تُستعمل منفردةً لإنتاج حكم من غير بقية الموازين.</w:t>
      </w:r>
    </w:p>
    <w:p>
      <w:pPr>
        <w:spacing w:line="283" w:lineRule="auto" w:after="80"/>
        <w:ind w:firstLine="397"/>
        <w:jc w:val="both"/>
        <w:bidi/>
      </w:pPr>
      <w:r>
        <w:t>القاعدة 6: موافقة الرسم لا تنشئ قراءة بلا تلقي. وتدخل في بروتوكول تحليل القراءة، ولا تُستعمل منفردةً لإنتاج حكم من غير بقية الموازين.</w:t>
      </w:r>
    </w:p>
    <w:p>
      <w:pPr>
        <w:spacing w:line="283" w:lineRule="auto" w:after="80"/>
        <w:ind w:firstLine="397"/>
        <w:jc w:val="both"/>
        <w:bidi/>
      </w:pPr>
      <w:r>
        <w:t>القاعدة 7: الشهرة المتأخرة ليست بديلاً عن فحص تاريخ النقل. وتدخل في بروتوكول تحليل القراءة، ولا تُستعمل منفردةً لإنتاج حكم من غير بقية الموازين.</w:t>
      </w:r>
    </w:p>
    <w:p>
      <w:pPr>
        <w:spacing w:line="283" w:lineRule="auto" w:after="80"/>
        <w:ind w:firstLine="397"/>
        <w:jc w:val="both"/>
        <w:bidi/>
      </w:pPr>
      <w:r>
        <w:t>القاعدة 8: لا تُرد قراءة ثابتة لأنها تخالف توجيهاً نحوياً مفضلاً. وتدخل في بروتوكول تحليل القراءة، ولا تُستعمل منفردةً لإنتاج حكم من غير بقية الموازين.</w:t>
      </w:r>
    </w:p>
    <w:p>
      <w:pPr>
        <w:spacing w:line="283" w:lineRule="auto" w:after="80"/>
        <w:ind w:firstLine="397"/>
        <w:jc w:val="both"/>
        <w:bidi/>
      </w:pPr>
      <w:r>
        <w:t>القاعدة 9: لا ينتج كل اختلاف أداء اختلاف معنى. وتدخل في بروتوكول تحليل القراءة، ولا تُستعمل منفردةً لإنتاج حكم من غير بقية الموازين.</w:t>
      </w:r>
    </w:p>
    <w:p>
      <w:pPr>
        <w:spacing w:line="283" w:lineRule="auto" w:after="80"/>
        <w:ind w:firstLine="397"/>
        <w:jc w:val="both"/>
        <w:bidi/>
      </w:pPr>
      <w:r>
        <w:t>القاعدة 10: الاختلاف الصرفي يحتاج إلى تحليل الوظيفة لا المعجم فقط. وتدخل في بروتوكول تحليل القراءة، ولا تُستعمل منفردةً لإنتاج حكم من غير بقية الموازين.</w:t>
      </w:r>
    </w:p>
    <w:p>
      <w:pPr>
        <w:spacing w:line="283" w:lineRule="auto" w:after="80"/>
        <w:ind w:firstLine="397"/>
        <w:jc w:val="both"/>
        <w:bidi/>
      </w:pPr>
      <w:r>
        <w:t>القاعدة 11: الإعراب وجه تفسيري مرتبط بالقراءة والسياق. وتدخل في بروتوكول تحليل القراءة، ولا تُستعمل منفردةً لإنتاج حكم من غير بقية الموازين.</w:t>
      </w:r>
    </w:p>
    <w:p>
      <w:pPr>
        <w:spacing w:line="283" w:lineRule="auto" w:after="80"/>
        <w:ind w:firstLine="397"/>
        <w:jc w:val="both"/>
        <w:bidi/>
      </w:pPr>
      <w:r>
        <w:t>القاعدة 12: مرجع الضمير يحدد داخل بنية الجملة والسورة. وتدخل في بروتوكول تحليل القراءة، ولا تُستعمل منفردةً لإنتاج حكم من غير بقية الموازين.</w:t>
      </w:r>
    </w:p>
    <w:p>
      <w:pPr>
        <w:spacing w:line="283" w:lineRule="auto" w:after="80"/>
        <w:ind w:firstLine="397"/>
        <w:jc w:val="both"/>
        <w:bidi/>
      </w:pPr>
      <w:r>
        <w:t>القاعدة 13: اختبر إمكان التكامل قبل ادعاء التعارض. وتدخل في بروتوكول تحليل القراءة، ولا تُستعمل منفردةً لإنتاج حكم من غير بقية الموازين.</w:t>
      </w:r>
    </w:p>
    <w:p>
      <w:pPr>
        <w:spacing w:line="283" w:lineRule="auto" w:after="80"/>
        <w:ind w:firstLine="397"/>
        <w:jc w:val="both"/>
        <w:bidi/>
      </w:pPr>
      <w:r>
        <w:t>القاعدة 14: اختلاف التنوع لا يحتاج إلى ترجيح إلغائي. وتدخل في بروتوكول تحليل القراءة، ولا تُستعمل منفردةً لإنتاج حكم من غير بقية الموازين.</w:t>
      </w:r>
    </w:p>
    <w:p>
      <w:pPr>
        <w:spacing w:line="283" w:lineRule="auto" w:after="80"/>
        <w:ind w:firstLine="397"/>
        <w:jc w:val="both"/>
        <w:bidi/>
      </w:pPr>
      <w:r>
        <w:t>القاعدة 15: الترجيح يكون بين التوجيهات إذا ثبتت القراءات. وتدخل في بروتوكول تحليل القراءة، ولا تُستعمل منفردةً لإنتاج حكم من غير بقية الموازين.</w:t>
      </w:r>
    </w:p>
    <w:p>
      <w:pPr>
        <w:spacing w:line="283" w:lineRule="auto" w:after="80"/>
        <w:ind w:firstLine="397"/>
        <w:jc w:val="both"/>
        <w:bidi/>
      </w:pPr>
      <w:r>
        <w:t>القاعدة 16: لا تجعل القراءة الثابتة أداةً لإلغاء قراءة ثابتة أخرى. وتدخل في بروتوكول تحليل القراءة، ولا تُستعمل منفردةً لإنتاج حكم من غير بقية الموازين.</w:t>
      </w:r>
    </w:p>
    <w:p>
      <w:pPr>
        <w:spacing w:line="283" w:lineRule="auto" w:after="80"/>
        <w:ind w:firstLine="397"/>
        <w:jc w:val="both"/>
        <w:bidi/>
      </w:pPr>
      <w:r>
        <w:t>القاعدة 17: يجوز أن توسع القراءات مجال المفهوم من غير أن تلغي مركزه. وتدخل في بروتوكول تحليل القراءة، ولا تُستعمل منفردةً لإنتاج حكم من غير بقية الموازين.</w:t>
      </w:r>
    </w:p>
    <w:p>
      <w:pPr>
        <w:spacing w:line="283" w:lineRule="auto" w:after="80"/>
        <w:ind w:firstLine="397"/>
        <w:jc w:val="both"/>
        <w:bidi/>
      </w:pPr>
      <w:r>
        <w:t>القاعدة 18: تدخل القراءات في الشبكة بعد تثبيت أثرها المحلي. وتدخل في بروتوكول تحليل القراءة، ولا تُستعمل منفردةً لإنتاج حكم من غير بقية الموازين.</w:t>
      </w:r>
    </w:p>
    <w:p>
      <w:pPr>
        <w:spacing w:line="283" w:lineRule="auto" w:after="80"/>
        <w:ind w:firstLine="397"/>
        <w:jc w:val="both"/>
        <w:bidi/>
      </w:pPr>
      <w:r>
        <w:t>القاعدة 19: السورة تحكم أثر القراءة في موضعها. وتدخل في بروتوكول تحليل القراءة، ولا تُستعمل منفردةً لإنتاج حكم من غير بقية الموازين.</w:t>
      </w:r>
    </w:p>
    <w:p>
      <w:pPr>
        <w:spacing w:line="283" w:lineRule="auto" w:after="80"/>
        <w:ind w:firstLine="397"/>
        <w:jc w:val="both"/>
        <w:bidi/>
      </w:pPr>
      <w:r>
        <w:t>القاعدة 20: المحكمات تضبط توجيه القراءات المحتملة. وتدخل في بروتوكول تحليل القراءة، ولا تُستعمل منفردةً لإنتاج حكم من غير بقية الموازين.</w:t>
      </w:r>
    </w:p>
    <w:p>
      <w:pPr>
        <w:spacing w:line="283" w:lineRule="auto" w:after="80"/>
        <w:ind w:firstLine="397"/>
        <w:jc w:val="both"/>
        <w:bidi/>
      </w:pPr>
      <w:r>
        <w:t>القاعدة 21: لا تُستخدم قراءة محتملة لتأسيس عقيدة مستقلة. وتدخل في بروتوكول تحليل القراءة، ولا تُستعمل منفردةً لإنتاج حكم من غير بقية الموازين.</w:t>
      </w:r>
    </w:p>
    <w:p>
      <w:pPr>
        <w:spacing w:line="283" w:lineRule="auto" w:after="80"/>
        <w:ind w:firstLine="397"/>
        <w:jc w:val="both"/>
        <w:bidi/>
      </w:pPr>
      <w:r>
        <w:t>القاعدة 22: الحكم الفقهي يحتاج إلى جمع القراءات مع بقية الأدلة والأصول. وتدخل في بروتوكول تحليل القراءة، ولا تُستعمل منفردةً لإنتاج حكم من غير بقية الموازين.</w:t>
      </w:r>
    </w:p>
    <w:p>
      <w:pPr>
        <w:spacing w:line="283" w:lineRule="auto" w:after="80"/>
        <w:ind w:firstLine="397"/>
        <w:jc w:val="both"/>
        <w:bidi/>
      </w:pPr>
      <w:r>
        <w:t>القاعدة 23: سبب النزول لا يصحح القراءة ولا يحصر أثرها بذاته. وتدخل في بروتوكول تحليل القراءة، ولا تُستعمل منفردةً لإنتاج حكم من غير بقية الموازين.</w:t>
      </w:r>
    </w:p>
    <w:p>
      <w:pPr>
        <w:spacing w:line="283" w:lineRule="auto" w:after="80"/>
        <w:ind w:firstLine="397"/>
        <w:jc w:val="both"/>
        <w:bidi/>
      </w:pPr>
      <w:r>
        <w:t>القاعدة 24: التوجيه المأثور يختلف عن نص القراءة. وتدخل في بروتوكول تحليل القراءة، ولا تُستعمل منفردةً لإنتاج حكم من غير بقية الموازين.</w:t>
      </w:r>
    </w:p>
    <w:p>
      <w:pPr>
        <w:spacing w:line="283" w:lineRule="auto" w:after="80"/>
        <w:ind w:firstLine="397"/>
        <w:jc w:val="both"/>
        <w:bidi/>
      </w:pPr>
      <w:r>
        <w:t>القاعدة 25: القراءات غير المشهورة تُقوَّم وظيفياً ولا تُسوّى جميعاً. وتدخل في بروتوكول تحليل القراءة، ولا تُستعمل منفردةً لإنتاج حكم من غير بقية الموازين.</w:t>
      </w:r>
    </w:p>
    <w:p>
      <w:pPr>
        <w:spacing w:line="283" w:lineRule="auto" w:after="80"/>
        <w:ind w:firstLine="397"/>
        <w:jc w:val="both"/>
        <w:bidi/>
      </w:pPr>
      <w:r>
        <w:t>القاعدة 26: الشاذ اصطلاح يحتاج إلى تعريف ولا يساوي الباطل في كل استعمال. وتدخل في بروتوكول تحليل القراءة، ولا تُستعمل منفردةً لإنتاج حكم من غير بقية الموازين.</w:t>
      </w:r>
    </w:p>
    <w:p>
      <w:pPr>
        <w:spacing w:line="283" w:lineRule="auto" w:after="80"/>
        <w:ind w:firstLine="397"/>
        <w:jc w:val="both"/>
        <w:bidi/>
      </w:pPr>
      <w:r>
        <w:t>القاعدة 27: لا تستخدم القراءة لإثبات لهجة أو تاريخ بلا قرائن إضافية. وتدخل في بروتوكول تحليل القراءة، ولا تُستعمل منفردةً لإنتاج حكم من غير بقية الموازين.</w:t>
      </w:r>
    </w:p>
    <w:p>
      <w:pPr>
        <w:spacing w:line="283" w:lineRule="auto" w:after="80"/>
        <w:ind w:firstLine="397"/>
        <w:jc w:val="both"/>
        <w:bidi/>
      </w:pPr>
      <w:r>
        <w:t>القاعدة 28: احفظ الأقوال المخالفة في الثبوت والتوجيه. وتدخل في بروتوكول تحليل القراءة، ولا تُستعمل منفردةً لإنتاج حكم من غير بقية الموازين.</w:t>
      </w:r>
    </w:p>
    <w:p>
      <w:pPr>
        <w:spacing w:line="283" w:lineRule="auto" w:after="80"/>
        <w:ind w:firstLine="397"/>
        <w:jc w:val="both"/>
        <w:bidi/>
      </w:pPr>
      <w:r>
        <w:t>القاعدة 29: اعرض جميع القراءات ذات الصلة قبل بناء النتيجة. وتدخل في بروتوكول تحليل القراءة، ولا تُستعمل منفردةً لإنتاج حكم من غير بقية الموازين.</w:t>
      </w:r>
    </w:p>
    <w:p>
      <w:pPr>
        <w:spacing w:line="283" w:lineRule="auto" w:after="80"/>
        <w:ind w:firstLine="397"/>
        <w:jc w:val="both"/>
        <w:bidi/>
      </w:pPr>
      <w:r>
        <w:t>القاعدة 30: لا تنتق القراءة الموافقة للمذهب وتخفي غيرها. وتدخل في بروتوكول تحليل القراءة، ولا تُستعمل منفردةً لإنتاج حكم من غير بقية الموازين.</w:t>
      </w:r>
    </w:p>
    <w:p>
      <w:pPr>
        <w:spacing w:line="283" w:lineRule="auto" w:after="80"/>
        <w:ind w:firstLine="397"/>
        <w:jc w:val="both"/>
        <w:bidi/>
      </w:pPr>
      <w:r>
        <w:t>القاعدة 31: أعلن إذا كان الأثر الدلالي معدوماً أو محدوداً. وتدخل في بروتوكول تحليل القراءة، ولا تُستعمل منفردةً لإنتاج حكم من غير بقية الموازين.</w:t>
      </w:r>
    </w:p>
    <w:p>
      <w:pPr>
        <w:spacing w:line="283" w:lineRule="auto" w:after="80"/>
        <w:ind w:firstLine="397"/>
        <w:jc w:val="both"/>
        <w:bidi/>
      </w:pPr>
      <w:r>
        <w:t>القاعدة 32: اختبر تفسيراً منافساً للقراءة نفسها. وتدخل في بروتوكول تحليل القراءة، ولا تُستعمل منفردةً لإنتاج حكم من غير بقية الموازين.</w:t>
      </w:r>
    </w:p>
    <w:p>
      <w:pPr>
        <w:spacing w:line="283" w:lineRule="auto" w:after="80"/>
        <w:ind w:firstLine="397"/>
        <w:jc w:val="both"/>
        <w:bidi/>
      </w:pPr>
      <w:r>
        <w:t>القاعدة 33: اخفض الجزم عند تعدد التوجيهات المتقاربة. وتدخل في بروتوكول تحليل القراءة، ولا تُستعمل منفردةً لإنتاج حكم من غير بقية الموازين.</w:t>
      </w:r>
    </w:p>
    <w:p>
      <w:pPr>
        <w:spacing w:line="283" w:lineRule="auto" w:after="80"/>
        <w:ind w:firstLine="397"/>
        <w:jc w:val="both"/>
        <w:bidi/>
      </w:pPr>
      <w:r>
        <w:t>القاعدة 34: التوقف مشروع إذا لم يثبت الطريق أو لم يتعين الأثر. وتدخل في بروتوكول تحليل القراءة، ولا تُستعمل منفردةً لإنتاج حكم من غير بقية الموازين.</w:t>
      </w:r>
    </w:p>
    <w:p>
      <w:pPr>
        <w:spacing w:line="283" w:lineRule="auto" w:after="80"/>
        <w:ind w:firstLine="397"/>
        <w:jc w:val="both"/>
        <w:bidi/>
      </w:pPr>
      <w:r>
        <w:t>القاعدة 35: النظام الحاسوبي يقارن ويقترح ولا يحكم بقرآنية الوجه. وتدخل في بروتوكول تحليل القراءة، ولا تُستعمل منفردةً لإنتاج حكم من غير بقية الموازين.</w:t>
      </w:r>
    </w:p>
    <w:p>
      <w:pPr>
        <w:spacing w:line="283" w:lineRule="auto" w:after="80"/>
        <w:ind w:firstLine="397"/>
        <w:jc w:val="both"/>
        <w:bidi/>
      </w:pPr>
      <w:r>
        <w:t>القاعدة 36: كل قراءة في المدونة تحمل معرفاً وطريقاً ورسمًا وتوجيهاً وإصداراً. وتدخل في بروتوكول تحليل القراءة، ولا تُستعمل منفردةً لإنتاج حكم من غير بقية الموازين.</w:t>
      </w:r>
    </w:p>
    <w:p>
      <w:pPr>
        <w:spacing w:line="283" w:lineRule="auto" w:after="80"/>
        <w:ind w:firstLine="397"/>
        <w:jc w:val="both"/>
        <w:bidi/>
      </w:pPr>
      <w:r>
        <w:t>القاعدة 37: كل حكم تفسيري يذكر ما يثبته وما لا يثبته. وتدخل في بروتوكول تحليل القراءة، ولا تُستعمل منفردةً لإنتاج حكم من غير بقية الموازين.</w:t>
      </w:r>
    </w:p>
    <w:p>
      <w:pPr>
        <w:spacing w:line="283" w:lineRule="auto" w:after="80"/>
        <w:ind w:firstLine="397"/>
        <w:jc w:val="both"/>
        <w:bidi/>
      </w:pPr>
      <w:r>
        <w:t>القاعدة 38: تُراجع القواعد إذا كشفت القراءات استثناءً أو توسيعاً. وتدخل في بروتوكول تحليل القراءة، ولا تُستعمل منفردةً لإنتاج حكم من غير بقية الموازين.</w:t>
      </w:r>
    </w:p>
    <w:p>
      <w:pPr>
        <w:spacing w:line="283" w:lineRule="auto" w:after="80"/>
        <w:ind w:firstLine="397"/>
        <w:jc w:val="both"/>
        <w:bidi/>
      </w:pPr>
      <w:r>
        <w:t>القاعدة 39: المعيار نفسه يطبق على قراءة المدرسة القريبة والبعيدة. وتدخل في بروتوكول تحليل القراءة، ولا تُستعمل منفردةً لإنتاج حكم من غير بقية الموازين.</w:t>
      </w:r>
    </w:p>
    <w:p>
      <w:pPr>
        <w:spacing w:line="283" w:lineRule="auto" w:after="80"/>
        <w:ind w:firstLine="397"/>
        <w:jc w:val="both"/>
        <w:bidi/>
      </w:pPr>
      <w:r>
        <w:t>القاعدة 40: تبقى حاكمية القرآن والبيان والقسط فوق الاختيار المذهبي واللغوي. وتدخل في بروتوكول تحليل القراءة، ولا تُستعمل منفردةً لإنتاج حكم من غير بقية الموازين.</w:t>
      </w:r>
    </w:p>
    <w:p>
      <w:r>
        <w:br w:type="page"/>
      </w:r>
    </w:p>
    <w:p>
      <w:pPr>
        <w:pStyle w:val="Heading1"/>
        <w:spacing w:line="283" w:lineRule="auto" w:after="120"/>
        <w:jc w:val="right"/>
        <w:keepNext/>
        <w:bidi/>
      </w:pPr>
      <w:r>
        <w:t>القسم التركيبي الثالث: الأربعون مغالطة في التعامل مع القراءات</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7"/>
              </w:rPr>
              <w:t>م</w:t>
            </w:r>
          </w:p>
        </w:tc>
        <w:tc>
          <w:tcPr>
            <w:tcW w:type="dxa" w:w="2635"/>
            <w:vAlign w:val="center"/>
          </w:tcPr>
          <w:p>
            <w:pPr>
              <w:spacing w:line="283" w:lineRule="auto" w:after="0"/>
              <w:jc w:val="center"/>
              <w:bidi/>
            </w:pPr>
            <w:r>
              <w:rPr>
                <w:b/>
                <w:sz w:val="17"/>
              </w:rPr>
              <w:t>المغالطة</w:t>
            </w:r>
          </w:p>
        </w:tc>
        <w:tc>
          <w:tcPr>
            <w:tcW w:type="dxa" w:w="2635"/>
            <w:vAlign w:val="center"/>
          </w:tcPr>
          <w:p>
            <w:pPr>
              <w:spacing w:line="283" w:lineRule="auto" w:after="0"/>
              <w:jc w:val="center"/>
              <w:bidi/>
            </w:pPr>
            <w:r>
              <w:rPr>
                <w:b/>
                <w:sz w:val="17"/>
              </w:rPr>
              <w:t>التصحيح</w:t>
            </w:r>
          </w:p>
        </w:tc>
      </w:tr>
      <w:tr>
        <w:trPr>
          <w:cantSplit/>
        </w:trPr>
        <w:tc>
          <w:tcPr>
            <w:tcW w:type="dxa" w:w="2635"/>
            <w:vAlign w:val="center"/>
          </w:tcPr>
          <w:p>
            <w:pPr>
              <w:spacing w:line="283" w:lineRule="auto" w:after="0"/>
              <w:jc w:val="right"/>
              <w:bidi/>
            </w:pPr>
            <w:r>
              <w:rPr>
                <w:sz w:val="17"/>
              </w:rPr>
              <w:t>1</w:t>
            </w:r>
          </w:p>
        </w:tc>
        <w:tc>
          <w:tcPr>
            <w:tcW w:type="dxa" w:w="2635"/>
            <w:vAlign w:val="center"/>
          </w:tcPr>
          <w:p>
            <w:pPr>
              <w:spacing w:line="283" w:lineRule="auto" w:after="0"/>
              <w:jc w:val="right"/>
              <w:bidi/>
            </w:pPr>
            <w:r>
              <w:rPr>
                <w:sz w:val="17"/>
              </w:rPr>
              <w:t>مغالطة جعل كل وجه في كتب القراءات قرآناً ثابتاً.</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w:t>
            </w:r>
          </w:p>
        </w:tc>
        <w:tc>
          <w:tcPr>
            <w:tcW w:type="dxa" w:w="2635"/>
            <w:vAlign w:val="center"/>
          </w:tcPr>
          <w:p>
            <w:pPr>
              <w:spacing w:line="283" w:lineRule="auto" w:after="0"/>
              <w:jc w:val="right"/>
              <w:bidi/>
            </w:pPr>
            <w:r>
              <w:rPr>
                <w:sz w:val="17"/>
              </w:rPr>
              <w:t>مغالطة جعل الرسم منشئاً للقراءة.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w:t>
            </w:r>
          </w:p>
        </w:tc>
        <w:tc>
          <w:tcPr>
            <w:tcW w:type="dxa" w:w="2635"/>
            <w:vAlign w:val="center"/>
          </w:tcPr>
          <w:p>
            <w:pPr>
              <w:spacing w:line="283" w:lineRule="auto" w:after="0"/>
              <w:jc w:val="right"/>
              <w:bidi/>
            </w:pPr>
            <w:r>
              <w:rPr>
                <w:sz w:val="17"/>
              </w:rPr>
              <w:t>مغالطة تصحيح القراءة لمجرد موافقة العربية.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4</w:t>
            </w:r>
          </w:p>
        </w:tc>
        <w:tc>
          <w:tcPr>
            <w:tcW w:type="dxa" w:w="2635"/>
            <w:vAlign w:val="center"/>
          </w:tcPr>
          <w:p>
            <w:pPr>
              <w:spacing w:line="283" w:lineRule="auto" w:after="0"/>
              <w:jc w:val="right"/>
              <w:bidi/>
            </w:pPr>
            <w:r>
              <w:rPr>
                <w:sz w:val="17"/>
              </w:rPr>
              <w:t>مغالطة رد القراءة الثابتة بحجة ضعف قياس نحوي.</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5</w:t>
            </w:r>
          </w:p>
        </w:tc>
        <w:tc>
          <w:tcPr>
            <w:tcW w:type="dxa" w:w="2635"/>
            <w:vAlign w:val="center"/>
          </w:tcPr>
          <w:p>
            <w:pPr>
              <w:spacing w:line="283" w:lineRule="auto" w:after="0"/>
              <w:jc w:val="right"/>
              <w:bidi/>
            </w:pPr>
            <w:r>
              <w:rPr>
                <w:sz w:val="17"/>
              </w:rPr>
              <w:t>مغالطة مساواة الرواية بالقراءة.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6</w:t>
            </w:r>
          </w:p>
        </w:tc>
        <w:tc>
          <w:tcPr>
            <w:tcW w:type="dxa" w:w="2635"/>
            <w:vAlign w:val="center"/>
          </w:tcPr>
          <w:p>
            <w:pPr>
              <w:spacing w:line="283" w:lineRule="auto" w:after="0"/>
              <w:jc w:val="right"/>
              <w:bidi/>
            </w:pPr>
            <w:r>
              <w:rPr>
                <w:sz w:val="17"/>
              </w:rPr>
              <w:t>مغالطة مساواة الطريق بالوجه.</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7</w:t>
            </w:r>
          </w:p>
        </w:tc>
        <w:tc>
          <w:tcPr>
            <w:tcW w:type="dxa" w:w="2635"/>
            <w:vAlign w:val="center"/>
          </w:tcPr>
          <w:p>
            <w:pPr>
              <w:spacing w:line="283" w:lineRule="auto" w:after="0"/>
              <w:jc w:val="right"/>
              <w:bidi/>
            </w:pPr>
            <w:r>
              <w:rPr>
                <w:sz w:val="17"/>
              </w:rPr>
              <w:t>مغالطة جعل القراءات نصوصاً متناقضة مستقلة.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8</w:t>
            </w:r>
          </w:p>
        </w:tc>
        <w:tc>
          <w:tcPr>
            <w:tcW w:type="dxa" w:w="2635"/>
            <w:vAlign w:val="center"/>
          </w:tcPr>
          <w:p>
            <w:pPr>
              <w:spacing w:line="283" w:lineRule="auto" w:after="0"/>
              <w:jc w:val="right"/>
              <w:bidi/>
            </w:pPr>
            <w:r>
              <w:rPr>
                <w:sz w:val="17"/>
              </w:rPr>
              <w:t>مغالطة إنكار كل أثر دلالي لاختلاف القراءات.</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9</w:t>
            </w:r>
          </w:p>
        </w:tc>
        <w:tc>
          <w:tcPr>
            <w:tcW w:type="dxa" w:w="2635"/>
            <w:vAlign w:val="center"/>
          </w:tcPr>
          <w:p>
            <w:pPr>
              <w:spacing w:line="283" w:lineRule="auto" w:after="0"/>
              <w:jc w:val="right"/>
              <w:bidi/>
            </w:pPr>
            <w:r>
              <w:rPr>
                <w:sz w:val="17"/>
              </w:rPr>
              <w:t>مغالطة اختراع أثر دلالي لكل اختلاف صوتي.</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10</w:t>
            </w:r>
          </w:p>
        </w:tc>
        <w:tc>
          <w:tcPr>
            <w:tcW w:type="dxa" w:w="2635"/>
            <w:vAlign w:val="center"/>
          </w:tcPr>
          <w:p>
            <w:pPr>
              <w:spacing w:line="283" w:lineRule="auto" w:after="0"/>
              <w:jc w:val="right"/>
              <w:bidi/>
            </w:pPr>
            <w:r>
              <w:rPr>
                <w:sz w:val="17"/>
              </w:rPr>
              <w:t>مغالطة تفسير القراءة خارج سياق السورة.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11</w:t>
            </w:r>
          </w:p>
        </w:tc>
        <w:tc>
          <w:tcPr>
            <w:tcW w:type="dxa" w:w="2635"/>
            <w:vAlign w:val="center"/>
          </w:tcPr>
          <w:p>
            <w:pPr>
              <w:spacing w:line="283" w:lineRule="auto" w:after="0"/>
              <w:jc w:val="right"/>
              <w:bidi/>
            </w:pPr>
            <w:r>
              <w:rPr>
                <w:sz w:val="17"/>
              </w:rPr>
              <w:t>مغالطة انتقاء القراءة الموافقة للمذهب.</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12</w:t>
            </w:r>
          </w:p>
        </w:tc>
        <w:tc>
          <w:tcPr>
            <w:tcW w:type="dxa" w:w="2635"/>
            <w:vAlign w:val="center"/>
          </w:tcPr>
          <w:p>
            <w:pPr>
              <w:spacing w:line="283" w:lineRule="auto" w:after="0"/>
              <w:jc w:val="right"/>
              <w:bidi/>
            </w:pPr>
            <w:r>
              <w:rPr>
                <w:sz w:val="17"/>
              </w:rPr>
              <w:t>مغالطة إخفاء القراءة التي تربك الحكم.</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13</w:t>
            </w:r>
          </w:p>
        </w:tc>
        <w:tc>
          <w:tcPr>
            <w:tcW w:type="dxa" w:w="2635"/>
            <w:vAlign w:val="center"/>
          </w:tcPr>
          <w:p>
            <w:pPr>
              <w:spacing w:line="283" w:lineRule="auto" w:after="0"/>
              <w:jc w:val="right"/>
              <w:bidi/>
            </w:pPr>
            <w:r>
              <w:rPr>
                <w:sz w:val="17"/>
              </w:rPr>
              <w:t>مغالطة ترجيح قراءة ثابتة بمعنى إبطال أخرى.</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14</w:t>
            </w:r>
          </w:p>
        </w:tc>
        <w:tc>
          <w:tcPr>
            <w:tcW w:type="dxa" w:w="2635"/>
            <w:vAlign w:val="center"/>
          </w:tcPr>
          <w:p>
            <w:pPr>
              <w:spacing w:line="283" w:lineRule="auto" w:after="0"/>
              <w:jc w:val="right"/>
              <w:bidi/>
            </w:pPr>
            <w:r>
              <w:rPr>
                <w:sz w:val="17"/>
              </w:rPr>
              <w:t>مغالطة الجمع المتكلف بين معنيين لا يجتمعان.</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15</w:t>
            </w:r>
          </w:p>
        </w:tc>
        <w:tc>
          <w:tcPr>
            <w:tcW w:type="dxa" w:w="2635"/>
            <w:vAlign w:val="center"/>
          </w:tcPr>
          <w:p>
            <w:pPr>
              <w:spacing w:line="283" w:lineRule="auto" w:after="0"/>
              <w:jc w:val="right"/>
              <w:bidi/>
            </w:pPr>
            <w:r>
              <w:rPr>
                <w:sz w:val="17"/>
              </w:rPr>
              <w:t>مغالطة بناء عقيدة على وجه محتمل منفرد.</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16</w:t>
            </w:r>
          </w:p>
        </w:tc>
        <w:tc>
          <w:tcPr>
            <w:tcW w:type="dxa" w:w="2635"/>
            <w:vAlign w:val="center"/>
          </w:tcPr>
          <w:p>
            <w:pPr>
              <w:spacing w:line="283" w:lineRule="auto" w:after="0"/>
              <w:jc w:val="right"/>
              <w:bidi/>
            </w:pPr>
            <w:r>
              <w:rPr>
                <w:sz w:val="17"/>
              </w:rPr>
              <w:t>مغالطة بناء حد أو عقوبة على قراءة منعزلة عن الأصول.</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17</w:t>
            </w:r>
          </w:p>
        </w:tc>
        <w:tc>
          <w:tcPr>
            <w:tcW w:type="dxa" w:w="2635"/>
            <w:vAlign w:val="center"/>
          </w:tcPr>
          <w:p>
            <w:pPr>
              <w:spacing w:line="283" w:lineRule="auto" w:after="0"/>
              <w:jc w:val="right"/>
              <w:bidi/>
            </w:pPr>
            <w:r>
              <w:rPr>
                <w:sz w:val="17"/>
              </w:rPr>
              <w:t>مغالطة جعل القراءة الشاذة باطلة من كل وجه.</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18</w:t>
            </w:r>
          </w:p>
        </w:tc>
        <w:tc>
          <w:tcPr>
            <w:tcW w:type="dxa" w:w="2635"/>
            <w:vAlign w:val="center"/>
          </w:tcPr>
          <w:p>
            <w:pPr>
              <w:spacing w:line="283" w:lineRule="auto" w:after="0"/>
              <w:jc w:val="right"/>
              <w:bidi/>
            </w:pPr>
            <w:r>
              <w:rPr>
                <w:sz w:val="17"/>
              </w:rPr>
              <w:t>مغالطة رفع القراءة الشاذة إلى التلاوة المتعبدة بلا حجة.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19</w:t>
            </w:r>
          </w:p>
        </w:tc>
        <w:tc>
          <w:tcPr>
            <w:tcW w:type="dxa" w:w="2635"/>
            <w:vAlign w:val="center"/>
          </w:tcPr>
          <w:p>
            <w:pPr>
              <w:spacing w:line="283" w:lineRule="auto" w:after="0"/>
              <w:jc w:val="right"/>
              <w:bidi/>
            </w:pPr>
            <w:r>
              <w:rPr>
                <w:sz w:val="17"/>
              </w:rPr>
              <w:t>مغالطة الاستدلال باللهجة وحدها على التاريخ.</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20</w:t>
            </w:r>
          </w:p>
        </w:tc>
        <w:tc>
          <w:tcPr>
            <w:tcW w:type="dxa" w:w="2635"/>
            <w:vAlign w:val="center"/>
          </w:tcPr>
          <w:p>
            <w:pPr>
              <w:spacing w:line="283" w:lineRule="auto" w:after="0"/>
              <w:jc w:val="right"/>
              <w:bidi/>
            </w:pPr>
            <w:r>
              <w:rPr>
                <w:sz w:val="17"/>
              </w:rPr>
              <w:t>مغالطة جعل توجيه النحوي جزءاً من القراءة.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21</w:t>
            </w:r>
          </w:p>
        </w:tc>
        <w:tc>
          <w:tcPr>
            <w:tcW w:type="dxa" w:w="2635"/>
            <w:vAlign w:val="center"/>
          </w:tcPr>
          <w:p>
            <w:pPr>
              <w:spacing w:line="283" w:lineRule="auto" w:after="0"/>
              <w:jc w:val="right"/>
              <w:bidi/>
            </w:pPr>
            <w:r>
              <w:rPr>
                <w:sz w:val="17"/>
              </w:rPr>
              <w:t>مغالطة جعل قول المفسر نقلًا عن القارئ.</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22</w:t>
            </w:r>
          </w:p>
        </w:tc>
        <w:tc>
          <w:tcPr>
            <w:tcW w:type="dxa" w:w="2635"/>
            <w:vAlign w:val="center"/>
          </w:tcPr>
          <w:p>
            <w:pPr>
              <w:spacing w:line="283" w:lineRule="auto" w:after="0"/>
              <w:jc w:val="right"/>
              <w:bidi/>
            </w:pPr>
            <w:r>
              <w:rPr>
                <w:sz w:val="17"/>
              </w:rPr>
              <w:t>مغالطة دمج طرق متعددة ترجع إلى أصل واحد.</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23</w:t>
            </w:r>
          </w:p>
        </w:tc>
        <w:tc>
          <w:tcPr>
            <w:tcW w:type="dxa" w:w="2635"/>
            <w:vAlign w:val="center"/>
          </w:tcPr>
          <w:p>
            <w:pPr>
              <w:spacing w:line="283" w:lineRule="auto" w:after="0"/>
              <w:jc w:val="right"/>
              <w:bidi/>
            </w:pPr>
            <w:r>
              <w:rPr>
                <w:sz w:val="17"/>
              </w:rPr>
              <w:t>مغالطة استعمال المصطلح المتأخر لوصف المرحلة الأولى بلا قيد.</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24</w:t>
            </w:r>
          </w:p>
        </w:tc>
        <w:tc>
          <w:tcPr>
            <w:tcW w:type="dxa" w:w="2635"/>
            <w:vAlign w:val="center"/>
          </w:tcPr>
          <w:p>
            <w:pPr>
              <w:spacing w:line="283" w:lineRule="auto" w:after="0"/>
              <w:jc w:val="right"/>
              <w:bidi/>
            </w:pPr>
            <w:r>
              <w:rPr>
                <w:sz w:val="17"/>
              </w:rPr>
              <w:t>مغالطة القطع بنظرية الأحرف والقراءات مع نقص المادة.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25</w:t>
            </w:r>
          </w:p>
        </w:tc>
        <w:tc>
          <w:tcPr>
            <w:tcW w:type="dxa" w:w="2635"/>
            <w:vAlign w:val="center"/>
          </w:tcPr>
          <w:p>
            <w:pPr>
              <w:spacing w:line="283" w:lineRule="auto" w:after="0"/>
              <w:jc w:val="right"/>
              <w:bidi/>
            </w:pPr>
            <w:r>
              <w:rPr>
                <w:sz w:val="17"/>
              </w:rPr>
              <w:t>مغالطة جعل عدد القراءات معياراً لقداسة النص أو اضطرابه.</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26</w:t>
            </w:r>
          </w:p>
        </w:tc>
        <w:tc>
          <w:tcPr>
            <w:tcW w:type="dxa" w:w="2635"/>
            <w:vAlign w:val="center"/>
          </w:tcPr>
          <w:p>
            <w:pPr>
              <w:spacing w:line="283" w:lineRule="auto" w:after="0"/>
              <w:jc w:val="right"/>
              <w:bidi/>
            </w:pPr>
            <w:r>
              <w:rPr>
                <w:sz w:val="17"/>
              </w:rPr>
              <w:t>مغالطة اعتبار القراءة الأشيع هي الأصل دائماً.</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27</w:t>
            </w:r>
          </w:p>
        </w:tc>
        <w:tc>
          <w:tcPr>
            <w:tcW w:type="dxa" w:w="2635"/>
            <w:vAlign w:val="center"/>
          </w:tcPr>
          <w:p>
            <w:pPr>
              <w:spacing w:line="283" w:lineRule="auto" w:after="0"/>
              <w:jc w:val="right"/>
              <w:bidi/>
            </w:pPr>
            <w:r>
              <w:rPr>
                <w:sz w:val="17"/>
              </w:rPr>
              <w:t>مغالطة اعتبار الأقل شيوعاً أحدث دائماً.</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28</w:t>
            </w:r>
          </w:p>
        </w:tc>
        <w:tc>
          <w:tcPr>
            <w:tcW w:type="dxa" w:w="2635"/>
            <w:vAlign w:val="center"/>
          </w:tcPr>
          <w:p>
            <w:pPr>
              <w:spacing w:line="283" w:lineRule="auto" w:after="0"/>
              <w:jc w:val="right"/>
              <w:bidi/>
            </w:pPr>
            <w:r>
              <w:rPr>
                <w:sz w:val="17"/>
              </w:rPr>
              <w:t>مغالطة تجاهل الوقف والابتداء في فهم الأداء.</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29</w:t>
            </w:r>
          </w:p>
        </w:tc>
        <w:tc>
          <w:tcPr>
            <w:tcW w:type="dxa" w:w="2635"/>
            <w:vAlign w:val="center"/>
          </w:tcPr>
          <w:p>
            <w:pPr>
              <w:spacing w:line="283" w:lineRule="auto" w:after="0"/>
              <w:jc w:val="right"/>
              <w:bidi/>
            </w:pPr>
            <w:r>
              <w:rPr>
                <w:sz w:val="17"/>
              </w:rPr>
              <w:t>مغالطة مساواة الاختلاف النحوي بالاختلاف العقدي.</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30</w:t>
            </w:r>
          </w:p>
        </w:tc>
        <w:tc>
          <w:tcPr>
            <w:tcW w:type="dxa" w:w="2635"/>
            <w:vAlign w:val="center"/>
          </w:tcPr>
          <w:p>
            <w:pPr>
              <w:spacing w:line="283" w:lineRule="auto" w:after="0"/>
              <w:jc w:val="right"/>
              <w:bidi/>
            </w:pPr>
            <w:r>
              <w:rPr>
                <w:sz w:val="17"/>
              </w:rPr>
              <w:t>مغالطة تحويل التنوع إلى تناقض إعلامي.</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31</w:t>
            </w:r>
          </w:p>
        </w:tc>
        <w:tc>
          <w:tcPr>
            <w:tcW w:type="dxa" w:w="2635"/>
            <w:vAlign w:val="center"/>
          </w:tcPr>
          <w:p>
            <w:pPr>
              <w:spacing w:line="283" w:lineRule="auto" w:after="0"/>
              <w:jc w:val="right"/>
              <w:bidi/>
            </w:pPr>
            <w:r>
              <w:rPr>
                <w:sz w:val="17"/>
              </w:rPr>
              <w:t>مغالطة استعمال القراءات لإثبات سبق علمي.</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32</w:t>
            </w:r>
          </w:p>
        </w:tc>
        <w:tc>
          <w:tcPr>
            <w:tcW w:type="dxa" w:w="2635"/>
            <w:vAlign w:val="center"/>
          </w:tcPr>
          <w:p>
            <w:pPr>
              <w:spacing w:line="283" w:lineRule="auto" w:after="0"/>
              <w:jc w:val="right"/>
              <w:bidi/>
            </w:pPr>
            <w:r>
              <w:rPr>
                <w:sz w:val="17"/>
              </w:rPr>
              <w:t>مغالطة ربط كل قراءة بشبكة مفهومية جديدة.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33</w:t>
            </w:r>
          </w:p>
        </w:tc>
        <w:tc>
          <w:tcPr>
            <w:tcW w:type="dxa" w:w="2635"/>
            <w:vAlign w:val="center"/>
          </w:tcPr>
          <w:p>
            <w:pPr>
              <w:spacing w:line="283" w:lineRule="auto" w:after="0"/>
              <w:jc w:val="right"/>
              <w:bidi/>
            </w:pPr>
            <w:r>
              <w:rPr>
                <w:sz w:val="17"/>
              </w:rPr>
              <w:t>مغالطة المركزية الحسابية للقراءة.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34</w:t>
            </w:r>
          </w:p>
        </w:tc>
        <w:tc>
          <w:tcPr>
            <w:tcW w:type="dxa" w:w="2635"/>
            <w:vAlign w:val="center"/>
          </w:tcPr>
          <w:p>
            <w:pPr>
              <w:spacing w:line="283" w:lineRule="auto" w:after="0"/>
              <w:jc w:val="right"/>
              <w:bidi/>
            </w:pPr>
            <w:r>
              <w:rPr>
                <w:sz w:val="17"/>
              </w:rPr>
              <w:t>مغالطة قاعدة بيانات بلا طرق ومصادر.</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35</w:t>
            </w:r>
          </w:p>
        </w:tc>
        <w:tc>
          <w:tcPr>
            <w:tcW w:type="dxa" w:w="2635"/>
            <w:vAlign w:val="center"/>
          </w:tcPr>
          <w:p>
            <w:pPr>
              <w:spacing w:line="283" w:lineRule="auto" w:after="0"/>
              <w:jc w:val="right"/>
              <w:bidi/>
            </w:pPr>
            <w:r>
              <w:rPr>
                <w:sz w:val="17"/>
              </w:rPr>
              <w:t>مغالطة الذكاء الاصطناعي في الحكم على تواتر القراءة.</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36</w:t>
            </w:r>
          </w:p>
        </w:tc>
        <w:tc>
          <w:tcPr>
            <w:tcW w:type="dxa" w:w="2635"/>
            <w:vAlign w:val="center"/>
          </w:tcPr>
          <w:p>
            <w:pPr>
              <w:spacing w:line="283" w:lineRule="auto" w:after="0"/>
              <w:jc w:val="right"/>
              <w:bidi/>
            </w:pPr>
            <w:r>
              <w:rPr>
                <w:sz w:val="17"/>
              </w:rPr>
              <w:t>مغالطة اختزال علم القراءات في phonetics.</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37</w:t>
            </w:r>
          </w:p>
        </w:tc>
        <w:tc>
          <w:tcPr>
            <w:tcW w:type="dxa" w:w="2635"/>
            <w:vAlign w:val="center"/>
          </w:tcPr>
          <w:p>
            <w:pPr>
              <w:spacing w:line="283" w:lineRule="auto" w:after="0"/>
              <w:jc w:val="right"/>
              <w:bidi/>
            </w:pPr>
            <w:r>
              <w:rPr>
                <w:sz w:val="17"/>
              </w:rPr>
              <w:t>مغالطة اختزال علم القراءات في الفقه.</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38</w:t>
            </w:r>
          </w:p>
        </w:tc>
        <w:tc>
          <w:tcPr>
            <w:tcW w:type="dxa" w:w="2635"/>
            <w:vAlign w:val="center"/>
          </w:tcPr>
          <w:p>
            <w:pPr>
              <w:spacing w:line="283" w:lineRule="auto" w:after="0"/>
              <w:jc w:val="right"/>
              <w:bidi/>
            </w:pPr>
            <w:r>
              <w:rPr>
                <w:sz w:val="17"/>
              </w:rPr>
              <w:t>مغالطة عصمة اختيار القراء أو المصنفين.</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39</w:t>
            </w:r>
          </w:p>
        </w:tc>
        <w:tc>
          <w:tcPr>
            <w:tcW w:type="dxa" w:w="2635"/>
            <w:vAlign w:val="center"/>
          </w:tcPr>
          <w:p>
            <w:pPr>
              <w:spacing w:line="283" w:lineRule="auto" w:after="0"/>
              <w:jc w:val="right"/>
              <w:bidi/>
            </w:pPr>
            <w:r>
              <w:rPr>
                <w:sz w:val="17"/>
              </w:rPr>
              <w:t>مغالطة إنكار التاريخ البشري للتلقي والتدوين.</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r>
        <w:trPr>
          <w:cantSplit/>
        </w:trPr>
        <w:tc>
          <w:tcPr>
            <w:tcW w:type="dxa" w:w="2635"/>
            <w:vAlign w:val="center"/>
          </w:tcPr>
          <w:p>
            <w:pPr>
              <w:spacing w:line="283" w:lineRule="auto" w:after="0"/>
              <w:jc w:val="right"/>
              <w:bidi/>
            </w:pPr>
            <w:r>
              <w:rPr>
                <w:sz w:val="17"/>
              </w:rPr>
              <w:t>40</w:t>
            </w:r>
          </w:p>
        </w:tc>
        <w:tc>
          <w:tcPr>
            <w:tcW w:type="dxa" w:w="2635"/>
            <w:vAlign w:val="center"/>
          </w:tcPr>
          <w:p>
            <w:pPr>
              <w:spacing w:line="283" w:lineRule="auto" w:after="0"/>
              <w:jc w:val="right"/>
              <w:bidi/>
            </w:pPr>
            <w:r>
              <w:rPr>
                <w:sz w:val="17"/>
              </w:rPr>
              <w:t>مغالطة عصمة نظرية القراءات البيانية نفسها.</w:t>
            </w:r>
          </w:p>
        </w:tc>
        <w:tc>
          <w:tcPr>
            <w:tcW w:type="dxa" w:w="2635"/>
            <w:vAlign w:val="center"/>
          </w:tcPr>
          <w:p>
            <w:pPr>
              <w:spacing w:line="283" w:lineRule="auto" w:after="0"/>
              <w:jc w:val="right"/>
              <w:bidi/>
            </w:pPr>
            <w:r>
              <w:rPr>
                <w:sz w:val="17"/>
              </w:rPr>
              <w:t>تحديد الطبقة والدليل والحد، ثم إعادة التحليل في المدونة والسياق.</w:t>
            </w:r>
          </w:p>
        </w:tc>
      </w:tr>
    </w:tbl>
    <w:p/>
    <w:p>
      <w:pPr>
        <w:spacing w:line="283" w:lineRule="auto" w:after="80"/>
        <w:ind w:firstLine="397"/>
        <w:jc w:val="both"/>
        <w:bidi/>
      </w:pPr>
      <w:r>
        <w:t>المغالطة 1: مغالطة جعل كل وجه في كتب القراءات قرآناً ثابتاً.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 مغالطة جعل الرسم منشئاً للقراءة.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 مغالطة تصحيح القراءة لمجرد موافقة العربية.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4: مغالطة رد القراءة الثابتة بحجة ضعف قياس نحوي.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5: مغالطة مساواة الرواية بالقراءة.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6: مغالطة مساواة الطريق بالوجه.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7: مغالطة جعل القراءات نصوصاً متناقضة مستقلة.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8: مغالطة إنكار كل أثر دلالي لاختلاف القراءات.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9: مغالطة اختراع أثر دلالي لكل اختلاف صوتي.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10: مغالطة تفسير القراءة خارج سياق السورة.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11: مغالطة انتقاء القراءة الموافقة للمذهب.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12: مغالطة إخفاء القراءة التي تربك الحكم.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13: مغالطة ترجيح قراءة ثابتة بمعنى إبطال أخرى.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14: مغالطة الجمع المتكلف بين معنيين لا يجتمعان.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15: مغالطة بناء عقيدة على وجه محتمل منفرد.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16: مغالطة بناء حد أو عقوبة على قراءة منعزلة عن الأصول.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17: مغالطة جعل القراءة الشاذة باطلة من كل وجه.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18: مغالطة رفع القراءة الشاذة إلى التلاوة المتعبدة بلا حجة.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19: مغالطة الاستدلال باللهجة وحدها على التاريخ.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20: مغالطة جعل توجيه النحوي جزءاً من القراءة.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21: مغالطة جعل قول المفسر نقلًا عن القارئ.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22: مغالطة دمج طرق متعددة ترجع إلى أصل واحد.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23: مغالطة استعمال المصطلح المتأخر لوصف المرحلة الأولى بلا قيد.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24: مغالطة القطع بنظرية الأحرف والقراءات مع نقص المادة.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25: مغالطة جعل عدد القراءات معياراً لقداسة النص أو اضطرابه.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26: مغالطة اعتبار القراءة الأشيع هي الأصل دائماً.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27: مغالطة اعتبار الأقل شيوعاً أحدث دائماً.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28: مغالطة تجاهل الوقف والابتداء في فهم الأداء.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29: مغالطة مساواة الاختلاف النحوي بالاختلاف العقدي.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30: مغالطة تحويل التنوع إلى تناقض إعلامي.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31: مغالطة استعمال القراءات لإثبات سبق علمي.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32: مغالطة ربط كل قراءة بشبكة مفهومية جديدة.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33: مغالطة المركزية الحسابية للقراءة.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34: مغالطة قاعدة بيانات بلا طرق ومصادر.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35: مغالطة الذكاء الاصطناعي في الحكم على تواتر القراءة.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36: مغالطة اختزال علم القراءات في phonetics.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37: مغالطة اختزال علم القراءات في الفقه.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38: مغالطة عصمة اختيار القراء أو المصنفين.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39: مغالطة إنكار التاريخ البشري للتلقي والتدوين. ويعالجها المنهج بإظهار الفرق بين الثبوت والتوجيه والأثر والحجية، وبإبقاء المادة المخالفة في سجل المراجعة.</w:t>
      </w:r>
    </w:p>
    <w:p>
      <w:pPr>
        <w:spacing w:line="283" w:lineRule="auto" w:after="80"/>
        <w:ind w:firstLine="397"/>
        <w:jc w:val="both"/>
        <w:bidi/>
      </w:pPr>
      <w:r>
        <w:t>المغالطة 40: مغالطة عصمة نظرية القراءات البيانية نفسها. ويعالجها المنهج بإظهار الفرق بين الثبوت والتوجيه والأثر والحجية، وبإبقاء المادة المخالفة في سجل المراجعة.</w:t>
      </w:r>
    </w:p>
    <w:p>
      <w:r>
        <w:br w:type="page"/>
      </w:r>
    </w:p>
    <w:p>
      <w:pPr>
        <w:pStyle w:val="Heading1"/>
        <w:spacing w:line="283" w:lineRule="auto" w:after="120"/>
        <w:jc w:val="right"/>
        <w:keepNext/>
        <w:bidi/>
      </w:pPr>
      <w:r>
        <w:t>القسم التطبيقي: مختبرات القراءات الكبرى</w:t>
      </w:r>
    </w:p>
    <w:p>
      <w:pPr>
        <w:pStyle w:val="Heading2"/>
        <w:spacing w:line="283" w:lineRule="auto" w:after="120"/>
        <w:jc w:val="right"/>
        <w:keepNext/>
        <w:bidi/>
      </w:pPr>
      <w:r>
        <w:t>المختبر 1: ﴿مَالِكِ يَوْمِ الدِّينِ﴾ و﴿مَلِكِ يَوْمِ الدِّينِ﴾</w:t>
      </w:r>
    </w:p>
    <w:p>
      <w:pPr>
        <w:spacing w:line="283" w:lineRule="auto" w:after="80"/>
        <w:ind w:firstLine="397"/>
        <w:jc w:val="both"/>
        <w:bidi/>
      </w:pPr>
      <w:r>
        <w:t>الموضع: الفاتحة: 4. محور المختبر: اختبار التكامل بين الملك والملك والسلطان في سياق الدين والجزاء.</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2: ﴿فَتَبَيَّنُوا﴾ وقراءة ﴿فَتَثَبَّتُوا﴾</w:t>
      </w:r>
    </w:p>
    <w:p>
      <w:pPr>
        <w:spacing w:line="283" w:lineRule="auto" w:after="80"/>
        <w:ind w:firstLine="397"/>
        <w:jc w:val="both"/>
        <w:bidi/>
      </w:pPr>
      <w:r>
        <w:t>الموضع: الحجرات: 6. محور المختبر: اختبار علاقة البيان بالتثبت في منهج الخبر.</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3: ﴿وَوَصَّى﴾ ووجه ﴿وَأَوْصَى﴾</w:t>
      </w:r>
    </w:p>
    <w:p>
      <w:pPr>
        <w:spacing w:line="283" w:lineRule="auto" w:after="80"/>
        <w:ind w:firstLine="397"/>
        <w:jc w:val="both"/>
        <w:bidi/>
      </w:pPr>
      <w:r>
        <w:t>الموضع: البقرة: 132. محور المختبر: تحليل الأثر الصرفي وحدود اختلافه.</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4: ﴿نُنشِزُهَا﴾ ووجوه الأداء في الموضع</w:t>
      </w:r>
    </w:p>
    <w:p>
      <w:pPr>
        <w:spacing w:line="283" w:lineRule="auto" w:after="80"/>
        <w:ind w:firstLine="397"/>
        <w:jc w:val="both"/>
        <w:bidi/>
      </w:pPr>
      <w:r>
        <w:t>الموضع: البقرة: 259. محور المختبر: تحليل الأثر المعجمي في إعادة بناء صورة الإحياء.</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5: ﴿لَامَسْتُمُ النِّسَاءَ﴾ ووجوه القراءة</w:t>
      </w:r>
    </w:p>
    <w:p>
      <w:pPr>
        <w:spacing w:line="283" w:lineRule="auto" w:after="80"/>
        <w:ind w:firstLine="397"/>
        <w:jc w:val="both"/>
        <w:bidi/>
      </w:pPr>
      <w:r>
        <w:t>الموضع: النساء: 43. محور المختبر: اختبار انتقال القراءة إلى الحكم الفقهي وحدود ذلك.</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6: ﴿وَأَرْجُلَكُمْ﴾ ووجوه الإعراب</w:t>
      </w:r>
    </w:p>
    <w:p>
      <w:pPr>
        <w:spacing w:line="283" w:lineRule="auto" w:after="80"/>
        <w:ind w:firstLine="397"/>
        <w:jc w:val="both"/>
        <w:bidi/>
      </w:pPr>
      <w:r>
        <w:t>الموضع: المائدة: 6. محور المختبر: تحليل القراءة والإعراب والسياق الفقهي من غير اختزال مذهبي.</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7: ﴿حَتَّىٰ يَطَّهَّرْنَ﴾ ووجوه التشديد والتخفيف</w:t>
      </w:r>
    </w:p>
    <w:p>
      <w:pPr>
        <w:spacing w:line="283" w:lineRule="auto" w:after="80"/>
        <w:ind w:firstLine="397"/>
        <w:jc w:val="both"/>
        <w:bidi/>
      </w:pPr>
      <w:r>
        <w:t>الموضع: البقرة: 222. محور المختبر: تحليل الفعل والنتيجة وحدود الاستدلال.</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8: ﴿وَكُفْلُهَا زَكَرِيَّا﴾ ووجوه البناء</w:t>
      </w:r>
    </w:p>
    <w:p>
      <w:pPr>
        <w:spacing w:line="283" w:lineRule="auto" w:after="80"/>
        <w:ind w:firstLine="397"/>
        <w:jc w:val="both"/>
        <w:bidi/>
      </w:pPr>
      <w:r>
        <w:t>الموضع: آل عمران: 37. محور المختبر: تحليل الفاعل والبناء للمفعول ومسار القصة.</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9: ﴿قَالَ اعْلَمْ﴾ وقراءة الأمر أو الخبر في بعض النقل</w:t>
      </w:r>
    </w:p>
    <w:p>
      <w:pPr>
        <w:spacing w:line="283" w:lineRule="auto" w:after="80"/>
        <w:ind w:firstLine="397"/>
        <w:jc w:val="both"/>
        <w:bidi/>
      </w:pPr>
      <w:r>
        <w:t>الموضع: البقرة: 259. محور المختبر: اختبار تحول الجملة من إخبار إلى أمر وحدود الثبوت.</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10: ﴿يُخَادِعُونَ﴾ ووجوه المفاعلة</w:t>
      </w:r>
    </w:p>
    <w:p>
      <w:pPr>
        <w:spacing w:line="283" w:lineRule="auto" w:after="80"/>
        <w:ind w:firstLine="397"/>
        <w:jc w:val="both"/>
        <w:bidi/>
      </w:pPr>
      <w:r>
        <w:t>الموضع: البقرة: 9. محور المختبر: الأثر الصرفي في تصوير الفعل والمقابلة.</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11: ﴿وَلا يُضَارَّ كَاتِبٌ وَلا شَهِيدٌ﴾</w:t>
      </w:r>
    </w:p>
    <w:p>
      <w:pPr>
        <w:spacing w:line="283" w:lineRule="auto" w:after="80"/>
        <w:ind w:firstLine="397"/>
        <w:jc w:val="both"/>
        <w:bidi/>
      </w:pPr>
      <w:r>
        <w:t>الموضع: البقرة: 282. محور المختبر: اختبار المبني للفاعل والمفعول في شبكة الحقوق.</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12: ﴿وَاتَّخِذُوا مِن مَّقَامِ إِبْرَاهِيمَ مُصَلًّى﴾</w:t>
      </w:r>
    </w:p>
    <w:p>
      <w:pPr>
        <w:spacing w:line="283" w:lineRule="auto" w:after="80"/>
        <w:ind w:firstLine="397"/>
        <w:jc w:val="both"/>
        <w:bidi/>
      </w:pPr>
      <w:r>
        <w:t>الموضع: البقرة: 125. محور المختبر: أثر الأداء في الأمر والخبر وتاريخ التلقي.</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13: ﴿نُنشِرُهَا﴾/﴿نُنشِزُهَا﴾ في المدونات</w:t>
      </w:r>
    </w:p>
    <w:p>
      <w:pPr>
        <w:spacing w:line="283" w:lineRule="auto" w:after="80"/>
        <w:ind w:firstLine="397"/>
        <w:jc w:val="both"/>
        <w:bidi/>
      </w:pPr>
      <w:r>
        <w:t>الموضع: البقرة: 259. محور المختبر: قيمة اختلاف اللفظ في الصورة المفهومية.</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14: ﴿يَطَّوَّفَ﴾ وقراءات الحج والعمرة</w:t>
      </w:r>
    </w:p>
    <w:p>
      <w:pPr>
        <w:spacing w:line="283" w:lineRule="auto" w:after="80"/>
        <w:ind w:firstLine="397"/>
        <w:jc w:val="both"/>
        <w:bidi/>
      </w:pPr>
      <w:r>
        <w:t>الموضع: البقرة: 158. محور المختبر: حدود انتقال القراءة إلى الإباحة والوجوب.</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15: ﴿مَعَايِشَ﴾ وأوجه الأداء</w:t>
      </w:r>
    </w:p>
    <w:p>
      <w:pPr>
        <w:spacing w:line="283" w:lineRule="auto" w:after="80"/>
        <w:ind w:firstLine="397"/>
        <w:jc w:val="both"/>
        <w:bidi/>
      </w:pPr>
      <w:r>
        <w:t>الموضع: الأعراف: 10. محور المختبر: دراسة الأداء والرسم والعربية من غير تضخيم دلالي.</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16: ﴿الصَّابِئُونَ﴾ وبنية الرفع</w:t>
      </w:r>
    </w:p>
    <w:p>
      <w:pPr>
        <w:spacing w:line="283" w:lineRule="auto" w:after="80"/>
        <w:ind w:firstLine="397"/>
        <w:jc w:val="both"/>
        <w:bidi/>
      </w:pPr>
      <w:r>
        <w:t>الموضع: المائدة: 69. محور المختبر: اختبار القراءة والنحو والسياق الحجاجي.</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17: ﴿إِنْ هَذَانِ لَسَاحِرَانِ﴾</w:t>
      </w:r>
    </w:p>
    <w:p>
      <w:pPr>
        <w:spacing w:line="283" w:lineRule="auto" w:after="80"/>
        <w:ind w:firstLine="397"/>
        <w:jc w:val="both"/>
        <w:bidi/>
      </w:pPr>
      <w:r>
        <w:t>الموضع: طه: 63. محور المختبر: اختبار العربية والقراءات والتوجيه النحوي ومنع رد الثابت بقياس واحد.</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18: ﴿وَالذَّكَرِ وَالْأُنثَىٰ﴾ ووجوه النقل</w:t>
      </w:r>
    </w:p>
    <w:p>
      <w:pPr>
        <w:spacing w:line="283" w:lineRule="auto" w:after="80"/>
        <w:ind w:firstLine="397"/>
        <w:jc w:val="both"/>
        <w:bidi/>
      </w:pPr>
      <w:r>
        <w:t>الموضع: الليل: 3. محور المختبر: تمييز القراءة الثابتة من الأثر التفسيري التاريخي.</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19: مواضع الإفراد والجمع في القصص</w:t>
      </w:r>
    </w:p>
    <w:p>
      <w:pPr>
        <w:spacing w:line="283" w:lineRule="auto" w:after="80"/>
        <w:ind w:firstLine="397"/>
        <w:jc w:val="both"/>
        <w:bidi/>
      </w:pPr>
      <w:r>
        <w:t>الموضع: نماذج متعددة. محور المختبر: تحليل أثر العدد في زاوية السرد من غير إنشاء واقعة جديدة.</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pPr>
        <w:pStyle w:val="Heading2"/>
        <w:spacing w:line="283" w:lineRule="auto" w:after="120"/>
        <w:jc w:val="right"/>
        <w:keepNext/>
        <w:bidi/>
      </w:pPr>
      <w:r>
        <w:t>المختبر 20: مواضع البناء للمعلوم والمجهول</w:t>
      </w:r>
    </w:p>
    <w:p>
      <w:pPr>
        <w:spacing w:line="283" w:lineRule="auto" w:after="80"/>
        <w:ind w:firstLine="397"/>
        <w:jc w:val="both"/>
        <w:bidi/>
      </w:pPr>
      <w:r>
        <w:t>الموضع: نماذج متعددة. محور المختبر: اختبار تعدد زاوية الإسناد في البيان القرآني.</w:t>
      </w:r>
    </w:p>
    <w:p>
      <w:pPr>
        <w:pStyle w:val="Heading3"/>
        <w:spacing w:line="283" w:lineRule="auto" w:after="120"/>
        <w:jc w:val="right"/>
        <w:keepNext/>
        <w:bidi/>
      </w:pPr>
      <w:r>
        <w:t>المدونة</w:t>
      </w:r>
    </w:p>
    <w:p>
      <w:pPr>
        <w:spacing w:line="283" w:lineRule="auto" w:after="80"/>
        <w:ind w:firstLine="397"/>
        <w:jc w:val="both"/>
        <w:bidi/>
      </w:pPr>
      <w:r>
        <w:t>جمع جميع القراءات والطرق والتوجيهات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الثبوت</w:t>
      </w:r>
    </w:p>
    <w:p>
      <w:pPr>
        <w:spacing w:line="283" w:lineRule="auto" w:after="80"/>
        <w:ind w:firstLine="397"/>
        <w:jc w:val="both"/>
        <w:bidi/>
      </w:pPr>
      <w:r>
        <w:t>تحديد مرتبة كل قراءة أو أثر منقول.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اللسان</w:t>
      </w:r>
    </w:p>
    <w:p>
      <w:pPr>
        <w:spacing w:line="283" w:lineRule="auto" w:after="80"/>
        <w:ind w:firstLine="397"/>
        <w:jc w:val="both"/>
        <w:bidi/>
      </w:pPr>
      <w:r>
        <w:t>تحليل الصرف والنحو والمعجم والرسم.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السياق</w:t>
      </w:r>
    </w:p>
    <w:p>
      <w:pPr>
        <w:spacing w:line="283" w:lineRule="auto" w:after="80"/>
        <w:ind w:firstLine="397"/>
        <w:jc w:val="both"/>
        <w:bidi/>
      </w:pPr>
      <w:r>
        <w:t>إعادة كل وجه إلى الآية والمقطع والسورة.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الشبكة</w:t>
      </w:r>
    </w:p>
    <w:p>
      <w:pPr>
        <w:spacing w:line="283" w:lineRule="auto" w:after="80"/>
        <w:ind w:firstLine="397"/>
        <w:jc w:val="both"/>
        <w:bidi/>
      </w:pPr>
      <w:r>
        <w:t>ربط الأثر بالمحكمات والمفاهيم ذات الصلة.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القراءة المنافسة</w:t>
      </w:r>
    </w:p>
    <w:p>
      <w:pPr>
        <w:spacing w:line="283" w:lineRule="auto" w:after="80"/>
        <w:ind w:firstLine="397"/>
        <w:jc w:val="both"/>
        <w:bidi/>
      </w:pPr>
      <w:r>
        <w:t>صياغة تفسير بديل واختبار قدرته.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p>
      <w:pPr>
        <w:pStyle w:val="Heading3"/>
        <w:spacing w:line="283" w:lineRule="auto" w:after="120"/>
        <w:jc w:val="right"/>
        <w:keepNext/>
        <w:bidi/>
      </w:pPr>
      <w:r>
        <w:t>الحكم</w:t>
      </w:r>
    </w:p>
    <w:p>
      <w:pPr>
        <w:spacing w:line="283" w:lineRule="auto" w:after="80"/>
        <w:ind w:firstLine="397"/>
        <w:jc w:val="both"/>
        <w:bidi/>
      </w:pPr>
      <w:r>
        <w:t>بيان ما تثبته القراءة وما لا تثبته. ويجب أن تظهر المادة المؤيدة والنافية، وأن يُفصل الحكم على القراءة من الحكم على توجيهها.</w:t>
      </w:r>
    </w:p>
    <w:p>
      <w:pPr>
        <w:spacing w:line="283" w:lineRule="auto" w:after="80"/>
        <w:ind w:firstLine="397"/>
        <w:jc w:val="both"/>
        <w:bidi/>
      </w:pPr>
      <w:r>
        <w:t>إذا كان الأثر محدوداً قيل ذلك صراحةً، وإذا لم يثبت فرق دلالي معتبر لم يُنشأ فرق لغرض الإكثار. وإذا تعددت التوجيهات حُفظت درجاتها بدل تسوية الخلاف بحكم واحد.</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البعد</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الثبوت</w:t>
            </w:r>
          </w:p>
        </w:tc>
        <w:tc>
          <w:tcPr>
            <w:tcW w:type="dxa" w:w="3952"/>
            <w:vAlign w:val="center"/>
          </w:tcPr>
          <w:p>
            <w:pPr>
              <w:spacing w:line="283" w:lineRule="auto" w:after="0"/>
              <w:jc w:val="right"/>
              <w:bidi/>
            </w:pPr>
            <w:r>
              <w:rPr>
                <w:sz w:val="18"/>
              </w:rPr>
              <w:t>درجة القراءة</w:t>
            </w:r>
          </w:p>
        </w:tc>
      </w:tr>
      <w:tr>
        <w:trPr>
          <w:cantSplit/>
        </w:trPr>
        <w:tc>
          <w:tcPr>
            <w:tcW w:type="dxa" w:w="3952"/>
            <w:vAlign w:val="center"/>
          </w:tcPr>
          <w:p>
            <w:pPr>
              <w:spacing w:line="283" w:lineRule="auto" w:after="0"/>
              <w:jc w:val="right"/>
              <w:bidi/>
            </w:pPr>
            <w:r>
              <w:rPr>
                <w:sz w:val="18"/>
              </w:rPr>
              <w:t>الرسم</w:t>
            </w:r>
          </w:p>
        </w:tc>
        <w:tc>
          <w:tcPr>
            <w:tcW w:type="dxa" w:w="3952"/>
            <w:vAlign w:val="center"/>
          </w:tcPr>
          <w:p>
            <w:pPr>
              <w:spacing w:line="283" w:lineRule="auto" w:after="0"/>
              <w:jc w:val="right"/>
              <w:bidi/>
            </w:pPr>
            <w:r>
              <w:rPr>
                <w:sz w:val="18"/>
              </w:rPr>
              <w:t>مدى الاحتمال</w:t>
            </w:r>
          </w:p>
        </w:tc>
      </w:tr>
      <w:tr>
        <w:trPr>
          <w:cantSplit/>
        </w:trPr>
        <w:tc>
          <w:tcPr>
            <w:tcW w:type="dxa" w:w="3952"/>
            <w:vAlign w:val="center"/>
          </w:tcPr>
          <w:p>
            <w:pPr>
              <w:spacing w:line="283" w:lineRule="auto" w:after="0"/>
              <w:jc w:val="right"/>
              <w:bidi/>
            </w:pPr>
            <w:r>
              <w:rPr>
                <w:sz w:val="18"/>
              </w:rPr>
              <w:t>اللسان</w:t>
            </w:r>
          </w:p>
        </w:tc>
        <w:tc>
          <w:tcPr>
            <w:tcW w:type="dxa" w:w="3952"/>
            <w:vAlign w:val="center"/>
          </w:tcPr>
          <w:p>
            <w:pPr>
              <w:spacing w:line="283" w:lineRule="auto" w:after="0"/>
              <w:jc w:val="right"/>
              <w:bidi/>
            </w:pPr>
            <w:r>
              <w:rPr>
                <w:sz w:val="18"/>
              </w:rPr>
              <w:t>الأثر المحلي</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الحد والوظيفة</w:t>
            </w:r>
          </w:p>
        </w:tc>
      </w:tr>
      <w:tr>
        <w:trPr>
          <w:cantSplit/>
        </w:trPr>
        <w:tc>
          <w:tcPr>
            <w:tcW w:type="dxa" w:w="3952"/>
            <w:vAlign w:val="center"/>
          </w:tcPr>
          <w:p>
            <w:pPr>
              <w:spacing w:line="283" w:lineRule="auto" w:after="0"/>
              <w:jc w:val="right"/>
              <w:bidi/>
            </w:pPr>
            <w:r>
              <w:rPr>
                <w:sz w:val="18"/>
              </w:rPr>
              <w:t>الشبكة</w:t>
            </w:r>
          </w:p>
        </w:tc>
        <w:tc>
          <w:tcPr>
            <w:tcW w:type="dxa" w:w="3952"/>
            <w:vAlign w:val="center"/>
          </w:tcPr>
          <w:p>
            <w:pPr>
              <w:spacing w:line="283" w:lineRule="auto" w:after="0"/>
              <w:jc w:val="right"/>
              <w:bidi/>
            </w:pPr>
            <w:r>
              <w:rPr>
                <w:sz w:val="18"/>
              </w:rPr>
              <w:t>الأثر الكلي</w:t>
            </w:r>
          </w:p>
        </w:tc>
      </w:tr>
      <w:tr>
        <w:trPr>
          <w:cantSplit/>
        </w:trP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تفسير بدرجة وحدود</w:t>
            </w:r>
          </w:p>
        </w:tc>
      </w:tr>
    </w:tbl>
    <w:p/>
    <w:p>
      <w:r>
        <w:br w:type="page"/>
      </w:r>
    </w:p>
    <w:p>
      <w:pPr>
        <w:pStyle w:val="Heading1"/>
        <w:spacing w:line="283" w:lineRule="auto" w:after="120"/>
        <w:jc w:val="right"/>
        <w:keepNext/>
        <w:bidi/>
      </w:pPr>
      <w:r>
        <w:t>ملفات موسعة: القراءات والفقه والعقيدة والتفسير</w:t>
      </w:r>
    </w:p>
    <w:p>
      <w:pPr>
        <w:pStyle w:val="Heading2"/>
        <w:spacing w:line="283" w:lineRule="auto" w:after="120"/>
        <w:jc w:val="right"/>
        <w:keepNext/>
        <w:bidi/>
      </w:pPr>
      <w:r>
        <w:t>الطهارة</w:t>
      </w:r>
    </w:p>
    <w:p>
      <w:pPr>
        <w:spacing w:line="283" w:lineRule="auto" w:after="80"/>
        <w:ind w:firstLine="397"/>
        <w:jc w:val="both"/>
        <w:bidi/>
      </w:pPr>
      <w:r>
        <w:t>كيف تؤثر اختلافات الإعراب والفعل في آيات الوضوء والحيض؟</w:t>
      </w:r>
    </w:p>
    <w:p>
      <w:pPr>
        <w:spacing w:line="283" w:lineRule="auto" w:after="80"/>
        <w:ind w:firstLine="397"/>
        <w:jc w:val="both"/>
        <w:bidi/>
      </w:pPr>
      <w:r>
        <w:t>القراءة دليل داخل شبكة القرآن والسنة والأصول، ولا تختزل المسألة فيها.</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المواريث</w:t>
      </w:r>
    </w:p>
    <w:p>
      <w:pPr>
        <w:spacing w:line="283" w:lineRule="auto" w:after="80"/>
        <w:ind w:firstLine="397"/>
        <w:jc w:val="both"/>
        <w:bidi/>
      </w:pPr>
      <w:r>
        <w:t>هل تضيف القراءة قيداً في علاقة القرابة أو الوصية؟</w:t>
      </w:r>
    </w:p>
    <w:p>
      <w:pPr>
        <w:spacing w:line="283" w:lineRule="auto" w:after="80"/>
        <w:ind w:firstLine="397"/>
        <w:jc w:val="both"/>
        <w:bidi/>
      </w:pPr>
      <w:r>
        <w:t>يُفحص النص والرسم والسياق ثم تُجمع الأحكام في النظام التشريعي.</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الطلاق والأسرة</w:t>
      </w:r>
    </w:p>
    <w:p>
      <w:pPr>
        <w:spacing w:line="283" w:lineRule="auto" w:after="80"/>
        <w:ind w:firstLine="397"/>
        <w:jc w:val="both"/>
        <w:bidi/>
      </w:pPr>
      <w:r>
        <w:t>ما أثر القراءات في الألفاظ العددية والزمنية؟</w:t>
      </w:r>
    </w:p>
    <w:p>
      <w:pPr>
        <w:spacing w:line="283" w:lineRule="auto" w:after="80"/>
        <w:ind w:firstLine="397"/>
        <w:jc w:val="both"/>
        <w:bidi/>
      </w:pPr>
      <w:r>
        <w:t>يُمنع إنشاء حكم أسري عالي الأثر من وجه محتمل منفرد.</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الصفات</w:t>
      </w:r>
    </w:p>
    <w:p>
      <w:pPr>
        <w:spacing w:line="283" w:lineRule="auto" w:after="80"/>
        <w:ind w:firstLine="397"/>
        <w:jc w:val="both"/>
        <w:bidi/>
      </w:pPr>
      <w:r>
        <w:t>هل تغير القراءة وجه الإسناد أو التنزيه؟</w:t>
      </w:r>
    </w:p>
    <w:p>
      <w:pPr>
        <w:spacing w:line="283" w:lineRule="auto" w:after="80"/>
        <w:ind w:firstLine="397"/>
        <w:jc w:val="both"/>
        <w:bidi/>
      </w:pPr>
      <w:r>
        <w:t>محكمات التنزيه تحكم جميع التوجيهات الثابتة.</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القدر والمشيئة</w:t>
      </w:r>
    </w:p>
    <w:p>
      <w:pPr>
        <w:spacing w:line="283" w:lineRule="auto" w:after="80"/>
        <w:ind w:firstLine="397"/>
        <w:jc w:val="both"/>
        <w:bidi/>
      </w:pPr>
      <w:r>
        <w:t>كيف تؤثر البنية النحوية في الفاعل والمفعول؟</w:t>
      </w:r>
    </w:p>
    <w:p>
      <w:pPr>
        <w:spacing w:line="283" w:lineRule="auto" w:after="80"/>
        <w:ind w:firstLine="397"/>
        <w:jc w:val="both"/>
        <w:bidi/>
      </w:pPr>
      <w:r>
        <w:t>لا تُبنى الجبرية أو التفويضية على قراءة معزولة.</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النبوة والرسالة</w:t>
      </w:r>
    </w:p>
    <w:p>
      <w:pPr>
        <w:spacing w:line="283" w:lineRule="auto" w:after="80"/>
        <w:ind w:firstLine="397"/>
        <w:jc w:val="both"/>
        <w:bidi/>
      </w:pPr>
      <w:r>
        <w:t>ما أثر القراءات في المخاطب والفاعل؟</w:t>
      </w:r>
    </w:p>
    <w:p>
      <w:pPr>
        <w:spacing w:line="283" w:lineRule="auto" w:after="80"/>
        <w:ind w:firstLine="397"/>
        <w:jc w:val="both"/>
        <w:bidi/>
      </w:pPr>
      <w:r>
        <w:t>يُحفظ مقام الرسول والسياق السُّوري قبل التعميم.</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القصص</w:t>
      </w:r>
    </w:p>
    <w:p>
      <w:pPr>
        <w:spacing w:line="283" w:lineRule="auto" w:after="80"/>
        <w:ind w:firstLine="397"/>
        <w:jc w:val="both"/>
        <w:bidi/>
      </w:pPr>
      <w:r>
        <w:t>هل تمثل القراءات روايات مختلفة للحدث؟</w:t>
      </w:r>
    </w:p>
    <w:p>
      <w:pPr>
        <w:spacing w:line="283" w:lineRule="auto" w:after="80"/>
        <w:ind w:firstLine="397"/>
        <w:jc w:val="both"/>
        <w:bidi/>
      </w:pPr>
      <w:r>
        <w:t>الأصل أنها وجوه في البيان ما لم يثبت اختلاف دعوى تاريخية.</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الوعيد والوعد</w:t>
      </w:r>
    </w:p>
    <w:p>
      <w:pPr>
        <w:spacing w:line="283" w:lineRule="auto" w:after="80"/>
        <w:ind w:firstLine="397"/>
        <w:jc w:val="both"/>
        <w:bidi/>
      </w:pPr>
      <w:r>
        <w:t>كيف يعمل اختلاف العدد والصيغة؟</w:t>
      </w:r>
    </w:p>
    <w:p>
      <w:pPr>
        <w:spacing w:line="283" w:lineRule="auto" w:after="80"/>
        <w:ind w:firstLine="397"/>
        <w:jc w:val="both"/>
        <w:bidi/>
      </w:pPr>
      <w:r>
        <w:t>تُرد القراءة إلى شبكة المسؤولية والجزاء والرحمة.</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الألفاظ الكونية</w:t>
      </w:r>
    </w:p>
    <w:p>
      <w:pPr>
        <w:spacing w:line="283" w:lineRule="auto" w:after="80"/>
        <w:ind w:firstLine="397"/>
        <w:jc w:val="both"/>
        <w:bidi/>
      </w:pPr>
      <w:r>
        <w:t>هل تنتج القراءة سبقاً علمياً؟</w:t>
      </w:r>
    </w:p>
    <w:p>
      <w:pPr>
        <w:spacing w:line="283" w:lineRule="auto" w:after="80"/>
        <w:ind w:firstLine="397"/>
        <w:jc w:val="both"/>
        <w:bidi/>
      </w:pPr>
      <w:r>
        <w:t>يُمنع إسقاط النظرية العلمية المتغيرة على الوجه القرائي.</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المصطلح القرآني</w:t>
      </w:r>
    </w:p>
    <w:p>
      <w:pPr>
        <w:spacing w:line="283" w:lineRule="auto" w:after="80"/>
        <w:ind w:firstLine="397"/>
        <w:jc w:val="both"/>
        <w:bidi/>
      </w:pPr>
      <w:r>
        <w:t>هل تغير القراءة حد المفهوم؟</w:t>
      </w:r>
    </w:p>
    <w:p>
      <w:pPr>
        <w:spacing w:line="283" w:lineRule="auto" w:after="80"/>
        <w:ind w:firstLine="397"/>
        <w:jc w:val="both"/>
        <w:bidi/>
      </w:pPr>
      <w:r>
        <w:t>تُضاف القراءة إلى المدونة المفهومية ولا تستقل بتعريف المصطلح.</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الوحدة السُّورية</w:t>
      </w:r>
    </w:p>
    <w:p>
      <w:pPr>
        <w:spacing w:line="283" w:lineRule="auto" w:after="80"/>
        <w:ind w:firstLine="397"/>
        <w:jc w:val="both"/>
        <w:bidi/>
      </w:pPr>
      <w:r>
        <w:t>هل يغير اختلاف القراءة محور السورة؟</w:t>
      </w:r>
    </w:p>
    <w:p>
      <w:pPr>
        <w:spacing w:line="283" w:lineRule="auto" w:after="80"/>
        <w:ind w:firstLine="397"/>
        <w:jc w:val="both"/>
        <w:bidi/>
      </w:pPr>
      <w:r>
        <w:t>يُختبر الأثر على انتقالات السورة كلها لا على الموضع وحده.</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pPr>
        <w:pStyle w:val="Heading2"/>
        <w:spacing w:line="283" w:lineRule="auto" w:after="120"/>
        <w:jc w:val="right"/>
        <w:keepNext/>
        <w:bidi/>
      </w:pPr>
      <w:r>
        <w:t>المحكم والمتشابه</w:t>
      </w:r>
    </w:p>
    <w:p>
      <w:pPr>
        <w:spacing w:line="283" w:lineRule="auto" w:after="80"/>
        <w:ind w:firstLine="397"/>
        <w:jc w:val="both"/>
        <w:bidi/>
      </w:pPr>
      <w:r>
        <w:t>هل تكون قراءة أوضح من أخرى؟</w:t>
      </w:r>
    </w:p>
    <w:p>
      <w:pPr>
        <w:spacing w:line="283" w:lineRule="auto" w:after="80"/>
        <w:ind w:firstLine="397"/>
        <w:jc w:val="both"/>
        <w:bidi/>
      </w:pPr>
      <w:r>
        <w:t>قد تزيد إحدى القراءات الإحكام، لكن الثابت كله يُقرأ في نظام واحد.</w:t>
      </w:r>
    </w:p>
    <w:p>
      <w:pPr>
        <w:spacing w:line="283" w:lineRule="auto" w:after="80"/>
        <w:ind w:firstLine="397"/>
        <w:jc w:val="both"/>
        <w:bidi/>
      </w:pPr>
      <w:r>
        <w:t>تُبنى بطاقة الملف من النص والقراءة والرواية والطريق والرسم والتوجيه والآيات النظيرة والنتيجة الأصولية، ويُذكر مستوى الثقة في كل حقل.</w:t>
      </w:r>
    </w:p>
    <w:p>
      <w:pPr>
        <w:spacing w:line="283" w:lineRule="auto" w:after="80"/>
        <w:ind w:firstLine="397"/>
        <w:jc w:val="both"/>
        <w:bidi/>
      </w:pPr>
      <w:r>
        <w:t>يُختبر الملف على قولين فقهيين أو تفسيريين على الأقل، وتُعرض كيفية توظيف كل مدرسة للقراءة، ثم يفصل ما هو من دلالة القراءة وما هو من أصول المدرسة أو افتراضاتها.</w:t>
      </w:r>
    </w:p>
    <w:p>
      <w:pPr>
        <w:spacing w:line="283" w:lineRule="auto" w:after="80"/>
        <w:ind w:firstLine="397"/>
        <w:jc w:val="both"/>
        <w:bidi/>
      </w:pPr>
      <w:r>
        <w:t>النتيجة النهائية لا تقول فقط أي وجه أرجح في التفسير، بل تبين هل الخلاف في القراءة نفسها أو في توجيهها أو في إدخالها في شبكة الأدلة، وما أثر ذلك في الحكم.</w:t>
      </w:r>
    </w:p>
    <w:p>
      <w:r>
        <w:br w:type="page"/>
      </w:r>
    </w:p>
    <w:p>
      <w:pPr>
        <w:pStyle w:val="Heading1"/>
        <w:spacing w:line="283" w:lineRule="auto" w:after="120"/>
        <w:jc w:val="right"/>
        <w:keepNext/>
        <w:bidi/>
      </w:pPr>
      <w:r>
        <w:t>مراجعة نقدية لمدارس التعامل مع القراءات</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المدرسة</w:t>
            </w:r>
          </w:p>
        </w:tc>
        <w:tc>
          <w:tcPr>
            <w:tcW w:type="dxa" w:w="3952"/>
            <w:vAlign w:val="center"/>
          </w:tcPr>
          <w:p>
            <w:pPr>
              <w:spacing w:line="283" w:lineRule="auto" w:after="0"/>
              <w:jc w:val="center"/>
              <w:bidi/>
            </w:pPr>
            <w:r>
              <w:rPr>
                <w:b/>
                <w:sz w:val="18"/>
              </w:rPr>
              <w:t>الإضافة والحد</w:t>
            </w:r>
          </w:p>
        </w:tc>
      </w:tr>
      <w:tr>
        <w:trPr>
          <w:cantSplit/>
        </w:trPr>
        <w:tc>
          <w:tcPr>
            <w:tcW w:type="dxa" w:w="3952"/>
            <w:vAlign w:val="center"/>
          </w:tcPr>
          <w:p>
            <w:pPr>
              <w:spacing w:line="283" w:lineRule="auto" w:after="0"/>
              <w:jc w:val="right"/>
              <w:bidi/>
            </w:pPr>
            <w:r>
              <w:rPr>
                <w:sz w:val="18"/>
              </w:rPr>
              <w:t>مدرسة القراء</w:t>
            </w:r>
          </w:p>
        </w:tc>
        <w:tc>
          <w:tcPr>
            <w:tcW w:type="dxa" w:w="3952"/>
            <w:vAlign w:val="center"/>
          </w:tcPr>
          <w:p>
            <w:pPr>
              <w:spacing w:line="283" w:lineRule="auto" w:after="0"/>
              <w:jc w:val="right"/>
              <w:bidi/>
            </w:pPr>
            <w:r>
              <w:rPr>
                <w:sz w:val="18"/>
              </w:rPr>
              <w:t>تحفظ الأداء والطرق وتملك خبرة فنية عالية، لكنها تحتاج في التفسير إلى وصل المادة بالسياق والشبكات.</w:t>
            </w:r>
          </w:p>
        </w:tc>
      </w:tr>
      <w:tr>
        <w:trPr>
          <w:cantSplit/>
        </w:trPr>
        <w:tc>
          <w:tcPr>
            <w:tcW w:type="dxa" w:w="3952"/>
            <w:vAlign w:val="center"/>
          </w:tcPr>
          <w:p>
            <w:pPr>
              <w:spacing w:line="283" w:lineRule="auto" w:after="0"/>
              <w:jc w:val="right"/>
              <w:bidi/>
            </w:pPr>
            <w:r>
              <w:rPr>
                <w:sz w:val="18"/>
              </w:rPr>
              <w:t>مدرسة النحاة</w:t>
            </w:r>
          </w:p>
        </w:tc>
        <w:tc>
          <w:tcPr>
            <w:tcW w:type="dxa" w:w="3952"/>
            <w:vAlign w:val="center"/>
          </w:tcPr>
          <w:p>
            <w:pPr>
              <w:spacing w:line="283" w:lineRule="auto" w:after="0"/>
              <w:jc w:val="right"/>
              <w:bidi/>
            </w:pPr>
            <w:r>
              <w:rPr>
                <w:sz w:val="18"/>
              </w:rPr>
              <w:t>تفسر البنى بدقة، ويخطر عليها جعل القياس النحوي حاكماً على النقل الثابت.</w:t>
            </w:r>
          </w:p>
        </w:tc>
      </w:tr>
      <w:tr>
        <w:trPr>
          <w:cantSplit/>
        </w:trPr>
        <w:tc>
          <w:tcPr>
            <w:tcW w:type="dxa" w:w="3952"/>
            <w:vAlign w:val="center"/>
          </w:tcPr>
          <w:p>
            <w:pPr>
              <w:spacing w:line="283" w:lineRule="auto" w:after="0"/>
              <w:jc w:val="right"/>
              <w:bidi/>
            </w:pPr>
            <w:r>
              <w:rPr>
                <w:sz w:val="18"/>
              </w:rPr>
              <w:t>التفسير الأثري</w:t>
            </w:r>
          </w:p>
        </w:tc>
        <w:tc>
          <w:tcPr>
            <w:tcW w:type="dxa" w:w="3952"/>
            <w:vAlign w:val="center"/>
          </w:tcPr>
          <w:p>
            <w:pPr>
              <w:spacing w:line="283" w:lineRule="auto" w:after="0"/>
              <w:jc w:val="right"/>
              <w:bidi/>
            </w:pPr>
            <w:r>
              <w:rPr>
                <w:sz w:val="18"/>
              </w:rPr>
              <w:t>يحفظ توجيهات مبكرة، ويحتاج إلى فصل ثبوت القراءة من ثبوت التفسير المنقول.</w:t>
            </w:r>
          </w:p>
        </w:tc>
      </w:tr>
      <w:tr>
        <w:trPr>
          <w:cantSplit/>
        </w:trPr>
        <w:tc>
          <w:tcPr>
            <w:tcW w:type="dxa" w:w="3952"/>
            <w:vAlign w:val="center"/>
          </w:tcPr>
          <w:p>
            <w:pPr>
              <w:spacing w:line="283" w:lineRule="auto" w:after="0"/>
              <w:jc w:val="right"/>
              <w:bidi/>
            </w:pPr>
            <w:r>
              <w:rPr>
                <w:sz w:val="18"/>
              </w:rPr>
              <w:t>التفسير الفقهي</w:t>
            </w:r>
          </w:p>
        </w:tc>
        <w:tc>
          <w:tcPr>
            <w:tcW w:type="dxa" w:w="3952"/>
            <w:vAlign w:val="center"/>
          </w:tcPr>
          <w:p>
            <w:pPr>
              <w:spacing w:line="283" w:lineRule="auto" w:after="0"/>
              <w:jc w:val="right"/>
              <w:bidi/>
            </w:pPr>
            <w:r>
              <w:rPr>
                <w:sz w:val="18"/>
              </w:rPr>
              <w:t>يكشف أثر القراءات في الأحكام، ويخطر عليه انتقاء الوجه الموافق للمذهب.</w:t>
            </w:r>
          </w:p>
        </w:tc>
      </w:tr>
      <w:tr>
        <w:trPr>
          <w:cantSplit/>
        </w:trPr>
        <w:tc>
          <w:tcPr>
            <w:tcW w:type="dxa" w:w="3952"/>
            <w:vAlign w:val="center"/>
          </w:tcPr>
          <w:p>
            <w:pPr>
              <w:spacing w:line="283" w:lineRule="auto" w:after="0"/>
              <w:jc w:val="right"/>
              <w:bidi/>
            </w:pPr>
            <w:r>
              <w:rPr>
                <w:sz w:val="18"/>
              </w:rPr>
              <w:t>التفسير الكلامي</w:t>
            </w:r>
          </w:p>
        </w:tc>
        <w:tc>
          <w:tcPr>
            <w:tcW w:type="dxa" w:w="3952"/>
            <w:vAlign w:val="center"/>
          </w:tcPr>
          <w:p>
            <w:pPr>
              <w:spacing w:line="283" w:lineRule="auto" w:after="0"/>
              <w:jc w:val="right"/>
              <w:bidi/>
            </w:pPr>
            <w:r>
              <w:rPr>
                <w:sz w:val="18"/>
              </w:rPr>
              <w:t>يستثمر الفروق العقدية، ويحتاج إلى محكمات تمنع تحميل القراءة ما لا تحتمل.</w:t>
            </w:r>
          </w:p>
        </w:tc>
      </w:tr>
      <w:tr>
        <w:trPr>
          <w:cantSplit/>
        </w:trPr>
        <w:tc>
          <w:tcPr>
            <w:tcW w:type="dxa" w:w="3952"/>
            <w:vAlign w:val="center"/>
          </w:tcPr>
          <w:p>
            <w:pPr>
              <w:spacing w:line="283" w:lineRule="auto" w:after="0"/>
              <w:jc w:val="right"/>
              <w:bidi/>
            </w:pPr>
            <w:r>
              <w:rPr>
                <w:sz w:val="18"/>
              </w:rPr>
              <w:t>التفسير البلاغي</w:t>
            </w:r>
          </w:p>
        </w:tc>
        <w:tc>
          <w:tcPr>
            <w:tcW w:type="dxa" w:w="3952"/>
            <w:vAlign w:val="center"/>
          </w:tcPr>
          <w:p>
            <w:pPr>
              <w:spacing w:line="283" w:lineRule="auto" w:after="0"/>
              <w:jc w:val="right"/>
              <w:bidi/>
            </w:pPr>
            <w:r>
              <w:rPr>
                <w:sz w:val="18"/>
              </w:rPr>
              <w:t>يكشف ثراء الأداء، ويحتاج إلى عدم اختراع فروق بلاغية لكل اختلاف.</w:t>
            </w:r>
          </w:p>
        </w:tc>
      </w:tr>
      <w:tr>
        <w:trPr>
          <w:cantSplit/>
        </w:trPr>
        <w:tc>
          <w:tcPr>
            <w:tcW w:type="dxa" w:w="3952"/>
            <w:vAlign w:val="center"/>
          </w:tcPr>
          <w:p>
            <w:pPr>
              <w:spacing w:line="283" w:lineRule="auto" w:after="0"/>
              <w:jc w:val="right"/>
              <w:bidi/>
            </w:pPr>
            <w:r>
              <w:rPr>
                <w:sz w:val="18"/>
              </w:rPr>
              <w:t>الدرس التاريخي الحديث</w:t>
            </w:r>
          </w:p>
        </w:tc>
        <w:tc>
          <w:tcPr>
            <w:tcW w:type="dxa" w:w="3952"/>
            <w:vAlign w:val="center"/>
          </w:tcPr>
          <w:p>
            <w:pPr>
              <w:spacing w:line="283" w:lineRule="auto" w:after="0"/>
              <w:jc w:val="right"/>
              <w:bidi/>
            </w:pPr>
            <w:r>
              <w:rPr>
                <w:sz w:val="18"/>
              </w:rPr>
              <w:t>يحلل نشأة القراءات، ويحتاج إلى تمييز الفرضية التاريخية من الحكم على القرآن.</w:t>
            </w:r>
          </w:p>
        </w:tc>
      </w:tr>
      <w:tr>
        <w:trPr>
          <w:cantSplit/>
        </w:trPr>
        <w:tc>
          <w:tcPr>
            <w:tcW w:type="dxa" w:w="3952"/>
            <w:vAlign w:val="center"/>
          </w:tcPr>
          <w:p>
            <w:pPr>
              <w:spacing w:line="283" w:lineRule="auto" w:after="0"/>
              <w:jc w:val="right"/>
              <w:bidi/>
            </w:pPr>
            <w:r>
              <w:rPr>
                <w:sz w:val="18"/>
              </w:rPr>
              <w:t>اللسانيات الحديثة</w:t>
            </w:r>
          </w:p>
        </w:tc>
        <w:tc>
          <w:tcPr>
            <w:tcW w:type="dxa" w:w="3952"/>
            <w:vAlign w:val="center"/>
          </w:tcPr>
          <w:p>
            <w:pPr>
              <w:spacing w:line="283" w:lineRule="auto" w:after="0"/>
              <w:jc w:val="right"/>
              <w:bidi/>
            </w:pPr>
            <w:r>
              <w:rPr>
                <w:sz w:val="18"/>
              </w:rPr>
              <w:t>تقدم أدوات للصوت والبنية، ولا تملك وحدها الحكم على الثبوت أو الحجية.</w:t>
            </w:r>
          </w:p>
        </w:tc>
      </w:tr>
      <w:tr>
        <w:trPr>
          <w:cantSplit/>
        </w:trPr>
        <w:tc>
          <w:tcPr>
            <w:tcW w:type="dxa" w:w="3952"/>
            <w:vAlign w:val="center"/>
          </w:tcPr>
          <w:p>
            <w:pPr>
              <w:spacing w:line="283" w:lineRule="auto" w:after="0"/>
              <w:jc w:val="right"/>
              <w:bidi/>
            </w:pPr>
            <w:r>
              <w:rPr>
                <w:sz w:val="18"/>
              </w:rPr>
              <w:t>الدراسات المخطوطية</w:t>
            </w:r>
          </w:p>
        </w:tc>
        <w:tc>
          <w:tcPr>
            <w:tcW w:type="dxa" w:w="3952"/>
            <w:vAlign w:val="center"/>
          </w:tcPr>
          <w:p>
            <w:pPr>
              <w:spacing w:line="283" w:lineRule="auto" w:after="0"/>
              <w:jc w:val="right"/>
              <w:bidi/>
            </w:pPr>
            <w:r>
              <w:rPr>
                <w:sz w:val="18"/>
              </w:rPr>
              <w:t>تكشف الرسم والنسخ، ويجب ألا تحول احتمال الرسم إلى قراءة بلا نقل.</w:t>
            </w:r>
          </w:p>
        </w:tc>
      </w:tr>
      <w:tr>
        <w:trPr>
          <w:cantSplit/>
        </w:trPr>
        <w:tc>
          <w:tcPr>
            <w:tcW w:type="dxa" w:w="3952"/>
            <w:vAlign w:val="center"/>
          </w:tcPr>
          <w:p>
            <w:pPr>
              <w:spacing w:line="283" w:lineRule="auto" w:after="0"/>
              <w:jc w:val="right"/>
              <w:bidi/>
            </w:pPr>
            <w:r>
              <w:rPr>
                <w:sz w:val="18"/>
              </w:rPr>
              <w:t>الحوسبة النصية</w:t>
            </w:r>
          </w:p>
        </w:tc>
        <w:tc>
          <w:tcPr>
            <w:tcW w:type="dxa" w:w="3952"/>
            <w:vAlign w:val="center"/>
          </w:tcPr>
          <w:p>
            <w:pPr>
              <w:spacing w:line="283" w:lineRule="auto" w:after="0"/>
              <w:jc w:val="right"/>
              <w:bidi/>
            </w:pPr>
            <w:r>
              <w:rPr>
                <w:sz w:val="18"/>
              </w:rPr>
              <w:t>توسع المقارنة والإحصاء، لكنها لا تقرر قرآنية الوجه ولا مراد الله.</w:t>
            </w:r>
          </w:p>
        </w:tc>
      </w:tr>
    </w:tbl>
    <w:p/>
    <w:p>
      <w:pPr>
        <w:pStyle w:val="Heading2"/>
        <w:spacing w:line="283" w:lineRule="auto" w:after="120"/>
        <w:jc w:val="right"/>
        <w:keepNext/>
        <w:bidi/>
      </w:pPr>
      <w:r>
        <w:t>مدرسة القراء</w:t>
      </w:r>
    </w:p>
    <w:p>
      <w:pPr>
        <w:spacing w:line="283" w:lineRule="auto" w:after="80"/>
        <w:ind w:firstLine="397"/>
        <w:jc w:val="both"/>
        <w:bidi/>
      </w:pPr>
      <w:r>
        <w:t>تحفظ الأداء والطرق وتملك خبرة فنية عالية، لكنها تحتاج في التفسير إلى وصل المادة بالسياق والشبكات.</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مدرسة النحاة</w:t>
      </w:r>
    </w:p>
    <w:p>
      <w:pPr>
        <w:spacing w:line="283" w:lineRule="auto" w:after="80"/>
        <w:ind w:firstLine="397"/>
        <w:jc w:val="both"/>
        <w:bidi/>
      </w:pPr>
      <w:r>
        <w:t>تفسر البنى بدقة، ويخطر عليها جعل القياس النحوي حاكماً على النقل الثابت.</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التفسير الأثري</w:t>
      </w:r>
    </w:p>
    <w:p>
      <w:pPr>
        <w:spacing w:line="283" w:lineRule="auto" w:after="80"/>
        <w:ind w:firstLine="397"/>
        <w:jc w:val="both"/>
        <w:bidi/>
      </w:pPr>
      <w:r>
        <w:t>يحفظ توجيهات مبكرة، ويحتاج إلى فصل ثبوت القراءة من ثبوت التفسير المنقول.</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التفسير الفقهي</w:t>
      </w:r>
    </w:p>
    <w:p>
      <w:pPr>
        <w:spacing w:line="283" w:lineRule="auto" w:after="80"/>
        <w:ind w:firstLine="397"/>
        <w:jc w:val="both"/>
        <w:bidi/>
      </w:pPr>
      <w:r>
        <w:t>يكشف أثر القراءات في الأحكام، ويخطر عليه انتقاء الوجه الموافق للمذهب.</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التفسير الكلامي</w:t>
      </w:r>
    </w:p>
    <w:p>
      <w:pPr>
        <w:spacing w:line="283" w:lineRule="auto" w:after="80"/>
        <w:ind w:firstLine="397"/>
        <w:jc w:val="both"/>
        <w:bidi/>
      </w:pPr>
      <w:r>
        <w:t>يستثمر الفروق العقدية، ويحتاج إلى محكمات تمنع تحميل القراءة ما لا تحتمل.</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التفسير البلاغي</w:t>
      </w:r>
    </w:p>
    <w:p>
      <w:pPr>
        <w:spacing w:line="283" w:lineRule="auto" w:after="80"/>
        <w:ind w:firstLine="397"/>
        <w:jc w:val="both"/>
        <w:bidi/>
      </w:pPr>
      <w:r>
        <w:t>يكشف ثراء الأداء، ويحتاج إلى عدم اختراع فروق بلاغية لكل اختلاف.</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الدرس التاريخي الحديث</w:t>
      </w:r>
    </w:p>
    <w:p>
      <w:pPr>
        <w:spacing w:line="283" w:lineRule="auto" w:after="80"/>
        <w:ind w:firstLine="397"/>
        <w:jc w:val="both"/>
        <w:bidi/>
      </w:pPr>
      <w:r>
        <w:t>يحلل نشأة القراءات، ويحتاج إلى تمييز الفرضية التاريخية من الحكم على القرآن.</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اللسانيات الحديثة</w:t>
      </w:r>
    </w:p>
    <w:p>
      <w:pPr>
        <w:spacing w:line="283" w:lineRule="auto" w:after="80"/>
        <w:ind w:firstLine="397"/>
        <w:jc w:val="both"/>
        <w:bidi/>
      </w:pPr>
      <w:r>
        <w:t>تقدم أدوات للصوت والبنية، ولا تملك وحدها الحكم على الثبوت أو الحجية.</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الدراسات المخطوطية</w:t>
      </w:r>
    </w:p>
    <w:p>
      <w:pPr>
        <w:spacing w:line="283" w:lineRule="auto" w:after="80"/>
        <w:ind w:firstLine="397"/>
        <w:jc w:val="both"/>
        <w:bidi/>
      </w:pPr>
      <w:r>
        <w:t>تكشف الرسم والنسخ، ويجب ألا تحول احتمال الرسم إلى قراءة بلا نقل.</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pPr>
        <w:pStyle w:val="Heading2"/>
        <w:spacing w:line="283" w:lineRule="auto" w:after="120"/>
        <w:jc w:val="right"/>
        <w:keepNext/>
        <w:bidi/>
      </w:pPr>
      <w:r>
        <w:t>الحوسبة النصية</w:t>
      </w:r>
    </w:p>
    <w:p>
      <w:pPr>
        <w:spacing w:line="283" w:lineRule="auto" w:after="80"/>
        <w:ind w:firstLine="397"/>
        <w:jc w:val="both"/>
        <w:bidi/>
      </w:pPr>
      <w:r>
        <w:t>توسع المقارنة والإحصاء، لكنها لا تقرر قرآنية الوجه ولا مراد الله.</w:t>
      </w:r>
    </w:p>
    <w:p>
      <w:pPr>
        <w:spacing w:line="283" w:lineRule="auto" w:after="80"/>
        <w:ind w:firstLine="397"/>
        <w:jc w:val="both"/>
        <w:bidi/>
      </w:pPr>
      <w:r>
        <w:t>يعيد المنهج البياني إدماج إسهام هذه المدرسة داخل المصفوفة الجامعة: الثبوت، والرسم، واللسان، والسياق، والشبكة، والحجية. ولا يمنح أي مدرسة حق الحكم على جميع الطبقات.</w:t>
      </w:r>
    </w:p>
    <w:p>
      <w:pPr>
        <w:spacing w:line="283" w:lineRule="auto" w:after="80"/>
        <w:ind w:firstLine="397"/>
        <w:jc w:val="both"/>
        <w:bidi/>
      </w:pPr>
      <w:r>
        <w:t>يُطلب من المراجعة المقارنة تطبيق المعيار نفسه على قراءة تؤيد المدرسة وأخرى تخالفها؛ لأن القسط يظهر في الحالة التي لا توافق النتيجة المسبقة.</w:t>
      </w:r>
    </w:p>
    <w:p>
      <w:r>
        <w:br w:type="page"/>
      </w:r>
    </w:p>
    <w:p>
      <w:pPr>
        <w:pStyle w:val="Heading1"/>
        <w:spacing w:line="283" w:lineRule="auto" w:after="120"/>
        <w:jc w:val="right"/>
        <w:keepNext/>
        <w:bidi/>
      </w:pPr>
      <w:r>
        <w:t>الخوارزمية النهائية لتحليل القراءة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7"/>
              </w:rPr>
              <w:t>م</w:t>
            </w:r>
          </w:p>
        </w:tc>
        <w:tc>
          <w:tcPr>
            <w:tcW w:type="dxa" w:w="2635"/>
            <w:vAlign w:val="center"/>
          </w:tcPr>
          <w:p>
            <w:pPr>
              <w:spacing w:line="283" w:lineRule="auto" w:after="0"/>
              <w:jc w:val="center"/>
              <w:bidi/>
            </w:pPr>
            <w:r>
              <w:rPr>
                <w:b/>
                <w:sz w:val="17"/>
              </w:rPr>
              <w:t>المرحلة</w:t>
            </w:r>
          </w:p>
        </w:tc>
        <w:tc>
          <w:tcPr>
            <w:tcW w:type="dxa" w:w="2635"/>
            <w:vAlign w:val="center"/>
          </w:tcPr>
          <w:p>
            <w:pPr>
              <w:spacing w:line="283" w:lineRule="auto" w:after="0"/>
              <w:jc w:val="center"/>
              <w:bidi/>
            </w:pPr>
            <w:r>
              <w:rPr>
                <w:b/>
                <w:sz w:val="17"/>
              </w:rPr>
              <w:t>بوابة الانتقال</w:t>
            </w:r>
          </w:p>
        </w:tc>
      </w:tr>
      <w:tr>
        <w:trPr>
          <w:cantSplit/>
        </w:trPr>
        <w:tc>
          <w:tcPr>
            <w:tcW w:type="dxa" w:w="2635"/>
            <w:vAlign w:val="center"/>
          </w:tcPr>
          <w:p>
            <w:pPr>
              <w:spacing w:line="283" w:lineRule="auto" w:after="0"/>
              <w:jc w:val="right"/>
              <w:bidi/>
            </w:pPr>
            <w:r>
              <w:rPr>
                <w:sz w:val="17"/>
              </w:rPr>
              <w:t>1</w:t>
            </w:r>
          </w:p>
        </w:tc>
        <w:tc>
          <w:tcPr>
            <w:tcW w:type="dxa" w:w="2635"/>
            <w:vAlign w:val="center"/>
          </w:tcPr>
          <w:p>
            <w:pPr>
              <w:spacing w:line="283" w:lineRule="auto" w:after="0"/>
              <w:jc w:val="right"/>
              <w:bidi/>
            </w:pPr>
            <w:r>
              <w:rPr>
                <w:sz w:val="17"/>
              </w:rPr>
              <w:t>تحرير السؤال التفسيري.</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2</w:t>
            </w:r>
          </w:p>
        </w:tc>
        <w:tc>
          <w:tcPr>
            <w:tcW w:type="dxa" w:w="2635"/>
            <w:vAlign w:val="center"/>
          </w:tcPr>
          <w:p>
            <w:pPr>
              <w:spacing w:line="283" w:lineRule="auto" w:after="0"/>
              <w:jc w:val="right"/>
              <w:bidi/>
            </w:pPr>
            <w:r>
              <w:rPr>
                <w:sz w:val="17"/>
              </w:rPr>
              <w:t>تحديد الموضع والسورة.</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3</w:t>
            </w:r>
          </w:p>
        </w:tc>
        <w:tc>
          <w:tcPr>
            <w:tcW w:type="dxa" w:w="2635"/>
            <w:vAlign w:val="center"/>
          </w:tcPr>
          <w:p>
            <w:pPr>
              <w:spacing w:line="283" w:lineRule="auto" w:after="0"/>
              <w:jc w:val="right"/>
              <w:bidi/>
            </w:pPr>
            <w:r>
              <w:rPr>
                <w:sz w:val="17"/>
              </w:rPr>
              <w:t>جمع جميع القراءات ذات الصلة.</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4</w:t>
            </w:r>
          </w:p>
        </w:tc>
        <w:tc>
          <w:tcPr>
            <w:tcW w:type="dxa" w:w="2635"/>
            <w:vAlign w:val="center"/>
          </w:tcPr>
          <w:p>
            <w:pPr>
              <w:spacing w:line="283" w:lineRule="auto" w:after="0"/>
              <w:jc w:val="right"/>
              <w:bidi/>
            </w:pPr>
            <w:r>
              <w:rPr>
                <w:sz w:val="17"/>
              </w:rPr>
              <w:t>فصل القراءة من الرواية والطريق والوجه.</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5</w:t>
            </w:r>
          </w:p>
        </w:tc>
        <w:tc>
          <w:tcPr>
            <w:tcW w:type="dxa" w:w="2635"/>
            <w:vAlign w:val="center"/>
          </w:tcPr>
          <w:p>
            <w:pPr>
              <w:spacing w:line="283" w:lineRule="auto" w:after="0"/>
              <w:jc w:val="right"/>
              <w:bidi/>
            </w:pPr>
            <w:r>
              <w:rPr>
                <w:sz w:val="17"/>
              </w:rPr>
              <w:t>توثيق مصادر النقل.</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6</w:t>
            </w:r>
          </w:p>
        </w:tc>
        <w:tc>
          <w:tcPr>
            <w:tcW w:type="dxa" w:w="2635"/>
            <w:vAlign w:val="center"/>
          </w:tcPr>
          <w:p>
            <w:pPr>
              <w:spacing w:line="283" w:lineRule="auto" w:after="0"/>
              <w:jc w:val="right"/>
              <w:bidi/>
            </w:pPr>
            <w:r>
              <w:rPr>
                <w:sz w:val="17"/>
              </w:rPr>
              <w:t>فحص تاريخ التلقي بقدر المادة.</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7</w:t>
            </w:r>
          </w:p>
        </w:tc>
        <w:tc>
          <w:tcPr>
            <w:tcW w:type="dxa" w:w="2635"/>
            <w:vAlign w:val="center"/>
          </w:tcPr>
          <w:p>
            <w:pPr>
              <w:spacing w:line="283" w:lineRule="auto" w:after="0"/>
              <w:jc w:val="right"/>
              <w:bidi/>
            </w:pPr>
            <w:r>
              <w:rPr>
                <w:sz w:val="17"/>
              </w:rPr>
              <w:t>فحص موافقة الرسم ووظيفته.</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8</w:t>
            </w:r>
          </w:p>
        </w:tc>
        <w:tc>
          <w:tcPr>
            <w:tcW w:type="dxa" w:w="2635"/>
            <w:vAlign w:val="center"/>
          </w:tcPr>
          <w:p>
            <w:pPr>
              <w:spacing w:line="283" w:lineRule="auto" w:after="0"/>
              <w:jc w:val="right"/>
              <w:bidi/>
            </w:pPr>
            <w:r>
              <w:rPr>
                <w:sz w:val="17"/>
              </w:rPr>
              <w:t>تحليل العربية من غير جعلها مصححاً مستقلاً.</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9</w:t>
            </w:r>
          </w:p>
        </w:tc>
        <w:tc>
          <w:tcPr>
            <w:tcW w:type="dxa" w:w="2635"/>
            <w:vAlign w:val="center"/>
          </w:tcPr>
          <w:p>
            <w:pPr>
              <w:spacing w:line="283" w:lineRule="auto" w:after="0"/>
              <w:jc w:val="right"/>
              <w:bidi/>
            </w:pPr>
            <w:r>
              <w:rPr>
                <w:sz w:val="17"/>
              </w:rPr>
              <w:t>تصنيف نوع الاختلاف.</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10</w:t>
            </w:r>
          </w:p>
        </w:tc>
        <w:tc>
          <w:tcPr>
            <w:tcW w:type="dxa" w:w="2635"/>
            <w:vAlign w:val="center"/>
          </w:tcPr>
          <w:p>
            <w:pPr>
              <w:spacing w:line="283" w:lineRule="auto" w:after="0"/>
              <w:jc w:val="right"/>
              <w:bidi/>
            </w:pPr>
            <w:r>
              <w:rPr>
                <w:sz w:val="17"/>
              </w:rPr>
              <w:t>تحديد هل يوجد أثر دلالي.</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11</w:t>
            </w:r>
          </w:p>
        </w:tc>
        <w:tc>
          <w:tcPr>
            <w:tcW w:type="dxa" w:w="2635"/>
            <w:vAlign w:val="center"/>
          </w:tcPr>
          <w:p>
            <w:pPr>
              <w:spacing w:line="283" w:lineRule="auto" w:after="0"/>
              <w:jc w:val="right"/>
              <w:bidi/>
            </w:pPr>
            <w:r>
              <w:rPr>
                <w:sz w:val="17"/>
              </w:rPr>
              <w:t>صياغة أثر كل قراءة مستقلاً.</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12</w:t>
            </w:r>
          </w:p>
        </w:tc>
        <w:tc>
          <w:tcPr>
            <w:tcW w:type="dxa" w:w="2635"/>
            <w:vAlign w:val="center"/>
          </w:tcPr>
          <w:p>
            <w:pPr>
              <w:spacing w:line="283" w:lineRule="auto" w:after="0"/>
              <w:jc w:val="right"/>
              <w:bidi/>
            </w:pPr>
            <w:r>
              <w:rPr>
                <w:sz w:val="17"/>
              </w:rPr>
              <w:t>إعادة كل وجه إلى السياق والمقطع والسورة.</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13</w:t>
            </w:r>
          </w:p>
        </w:tc>
        <w:tc>
          <w:tcPr>
            <w:tcW w:type="dxa" w:w="2635"/>
            <w:vAlign w:val="center"/>
          </w:tcPr>
          <w:p>
            <w:pPr>
              <w:spacing w:line="283" w:lineRule="auto" w:after="0"/>
              <w:jc w:val="right"/>
              <w:bidi/>
            </w:pPr>
            <w:r>
              <w:rPr>
                <w:sz w:val="17"/>
              </w:rPr>
              <w:t>ربط الأثر بالمحكمات والشبكة.</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14</w:t>
            </w:r>
          </w:p>
        </w:tc>
        <w:tc>
          <w:tcPr>
            <w:tcW w:type="dxa" w:w="2635"/>
            <w:vAlign w:val="center"/>
          </w:tcPr>
          <w:p>
            <w:pPr>
              <w:spacing w:line="283" w:lineRule="auto" w:after="0"/>
              <w:jc w:val="right"/>
              <w:bidi/>
            </w:pPr>
            <w:r>
              <w:rPr>
                <w:sz w:val="17"/>
              </w:rPr>
              <w:t>اختبار التكامل قبل التعارض.</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15</w:t>
            </w:r>
          </w:p>
        </w:tc>
        <w:tc>
          <w:tcPr>
            <w:tcW w:type="dxa" w:w="2635"/>
            <w:vAlign w:val="center"/>
          </w:tcPr>
          <w:p>
            <w:pPr>
              <w:spacing w:line="283" w:lineRule="auto" w:after="0"/>
              <w:jc w:val="right"/>
              <w:bidi/>
            </w:pPr>
            <w:r>
              <w:rPr>
                <w:sz w:val="17"/>
              </w:rPr>
              <w:t>صياغة تفسير منافس.</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16</w:t>
            </w:r>
          </w:p>
        </w:tc>
        <w:tc>
          <w:tcPr>
            <w:tcW w:type="dxa" w:w="2635"/>
            <w:vAlign w:val="center"/>
          </w:tcPr>
          <w:p>
            <w:pPr>
              <w:spacing w:line="283" w:lineRule="auto" w:after="0"/>
              <w:jc w:val="right"/>
              <w:bidi/>
            </w:pPr>
            <w:r>
              <w:rPr>
                <w:sz w:val="17"/>
              </w:rPr>
              <w:t>الجمع بين الأوجه إن قام الدليل.</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17</w:t>
            </w:r>
          </w:p>
        </w:tc>
        <w:tc>
          <w:tcPr>
            <w:tcW w:type="dxa" w:w="2635"/>
            <w:vAlign w:val="center"/>
          </w:tcPr>
          <w:p>
            <w:pPr>
              <w:spacing w:line="283" w:lineRule="auto" w:after="0"/>
              <w:jc w:val="right"/>
              <w:bidi/>
            </w:pPr>
            <w:r>
              <w:rPr>
                <w:sz w:val="17"/>
              </w:rPr>
              <w:t>ترجيح التوجيهات عند الحاجة مع حفظ الثابت.</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18</w:t>
            </w:r>
          </w:p>
        </w:tc>
        <w:tc>
          <w:tcPr>
            <w:tcW w:type="dxa" w:w="2635"/>
            <w:vAlign w:val="center"/>
          </w:tcPr>
          <w:p>
            <w:pPr>
              <w:spacing w:line="283" w:lineRule="auto" w:after="0"/>
              <w:jc w:val="right"/>
              <w:bidi/>
            </w:pPr>
            <w:r>
              <w:rPr>
                <w:sz w:val="17"/>
              </w:rPr>
              <w:t>تحديد الحجية في المجال.</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19</w:t>
            </w:r>
          </w:p>
        </w:tc>
        <w:tc>
          <w:tcPr>
            <w:tcW w:type="dxa" w:w="2635"/>
            <w:vAlign w:val="center"/>
          </w:tcPr>
          <w:p>
            <w:pPr>
              <w:spacing w:line="283" w:lineRule="auto" w:after="0"/>
              <w:jc w:val="right"/>
              <w:bidi/>
            </w:pPr>
            <w:r>
              <w:rPr>
                <w:sz w:val="17"/>
              </w:rPr>
              <w:t>تسجيل الحدود والقرائن النافية.</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r>
        <w:trPr>
          <w:cantSplit/>
        </w:trPr>
        <w:tc>
          <w:tcPr>
            <w:tcW w:type="dxa" w:w="2635"/>
            <w:vAlign w:val="center"/>
          </w:tcPr>
          <w:p>
            <w:pPr>
              <w:spacing w:line="283" w:lineRule="auto" w:after="0"/>
              <w:jc w:val="right"/>
              <w:bidi/>
            </w:pPr>
            <w:r>
              <w:rPr>
                <w:sz w:val="17"/>
              </w:rPr>
              <w:t>20</w:t>
            </w:r>
          </w:p>
        </w:tc>
        <w:tc>
          <w:tcPr>
            <w:tcW w:type="dxa" w:w="2635"/>
            <w:vAlign w:val="center"/>
          </w:tcPr>
          <w:p>
            <w:pPr>
              <w:spacing w:line="283" w:lineRule="auto" w:after="0"/>
              <w:jc w:val="right"/>
              <w:bidi/>
            </w:pPr>
            <w:r>
              <w:rPr>
                <w:sz w:val="17"/>
              </w:rPr>
              <w:t>المراجعة المستقلة والإصدار.</w:t>
            </w:r>
          </w:p>
        </w:tc>
        <w:tc>
          <w:tcPr>
            <w:tcW w:type="dxa" w:w="2635"/>
            <w:vAlign w:val="center"/>
          </w:tcPr>
          <w:p>
            <w:pPr>
              <w:spacing w:line="283" w:lineRule="auto" w:after="0"/>
              <w:jc w:val="right"/>
              <w:bidi/>
            </w:pPr>
            <w:r>
              <w:rPr>
                <w:sz w:val="17"/>
              </w:rPr>
              <w:t>لا انتقال إذا كان النقص جوهرياً في الثبوت أو هوية الوجه.</w:t>
            </w:r>
          </w:p>
        </w:tc>
      </w:tr>
    </w:tbl>
    <w:p/>
    <w:p>
      <w:pPr>
        <w:spacing w:line="283" w:lineRule="auto" w:after="80"/>
        <w:ind w:firstLine="397"/>
        <w:jc w:val="both"/>
        <w:bidi/>
      </w:pPr>
      <w:r>
        <w:t>المرحلة 1: تحرير السؤال التفسيري.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2: تحديد الموضع والسورة.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3: جمع جميع القراءات ذات الصلة.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4: فصل القراءة من الرواية والطريق والوجه.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5: توثيق مصادر النقل.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6: فحص تاريخ التلقي بقدر المادة.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7: فحص موافقة الرسم ووظيفته.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8: تحليل العربية من غير جعلها مصححاً مستقلاً.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9: تصنيف نوع الاختلاف.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10: تحديد هل يوجد أثر دلالي.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11: صياغة أثر كل قراءة مستقلاً.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12: إعادة كل وجه إلى السياق والمقطع والسورة.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13: ربط الأثر بالمحكمات والشبكة.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14: اختبار التكامل قبل التعارض.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15: صياغة تفسير منافس.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16: الجمع بين الأوجه إن قام الدليل.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17: ترجيح التوجيهات عند الحاجة مع حفظ الثابت.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18: تحديد الحجية في المجال.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19: تسجيل الحدود والقرائن النافية. وتُحفظ مدخلاتها ومخرجاتها في سجل قابل لإعادة التشغيل، ويُذكر من اعتمد الانتقال إلى المرحلة التالية.</w:t>
      </w:r>
    </w:p>
    <w:p>
      <w:pPr>
        <w:spacing w:line="283" w:lineRule="auto" w:after="80"/>
        <w:ind w:firstLine="397"/>
        <w:jc w:val="both"/>
        <w:bidi/>
      </w:pPr>
      <w:r>
        <w:t>المرحلة 20: المراجعة المستقلة والإصدار. وتُحفظ مدخلاتها ومخرجاتها في سجل قابل لإعادة التشغيل، ويُذكر من اعتمد الانتقال إلى المرحلة التالية.</w:t>
      </w:r>
    </w:p>
    <w:p>
      <w:pPr>
        <w:pStyle w:val="Heading1"/>
        <w:spacing w:line="283" w:lineRule="auto" w:after="120"/>
        <w:jc w:val="right"/>
        <w:keepNext/>
        <w:bidi/>
      </w:pPr>
      <w:r>
        <w:t>المصفوفة الحاسوبية لمدونة القراءات</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rPr>
          <w:cantSplit/>
        </w:trPr>
        <w:tc>
          <w:tcPr>
            <w:tcW w:type="dxa" w:w="3952"/>
            <w:vAlign w:val="center"/>
          </w:tcPr>
          <w:p>
            <w:pPr>
              <w:spacing w:line="283" w:lineRule="auto" w:after="0"/>
              <w:jc w:val="right"/>
              <w:bidi/>
            </w:pPr>
            <w:r>
              <w:rPr>
                <w:sz w:val="18"/>
              </w:rPr>
              <w:t>reading_record_id</w:t>
            </w:r>
          </w:p>
        </w:tc>
        <w:tc>
          <w:tcPr>
            <w:tcW w:type="dxa" w:w="3952"/>
            <w:vAlign w:val="center"/>
          </w:tcPr>
          <w:p>
            <w:pPr>
              <w:spacing w:line="283" w:lineRule="auto" w:after="0"/>
              <w:jc w:val="right"/>
              <w:bidi/>
            </w:pPr>
            <w:r>
              <w:rPr>
                <w:sz w:val="18"/>
              </w:rPr>
              <w:t>معرف السجل</w:t>
            </w:r>
          </w:p>
        </w:tc>
      </w:tr>
      <w:tr>
        <w:trPr>
          <w:cantSplit/>
        </w:trPr>
        <w:tc>
          <w:tcPr>
            <w:tcW w:type="dxa" w:w="3952"/>
            <w:vAlign w:val="center"/>
          </w:tcPr>
          <w:p>
            <w:pPr>
              <w:spacing w:line="283" w:lineRule="auto" w:after="0"/>
              <w:jc w:val="right"/>
              <w:bidi/>
            </w:pPr>
            <w:r>
              <w:rPr>
                <w:sz w:val="18"/>
              </w:rPr>
              <w:t>surah</w:t>
            </w:r>
          </w:p>
        </w:tc>
        <w:tc>
          <w:tcPr>
            <w:tcW w:type="dxa" w:w="3952"/>
            <w:vAlign w:val="center"/>
          </w:tcPr>
          <w:p>
            <w:pPr>
              <w:spacing w:line="283" w:lineRule="auto" w:after="0"/>
              <w:jc w:val="right"/>
              <w:bidi/>
            </w:pPr>
            <w:r>
              <w:rPr>
                <w:sz w:val="18"/>
              </w:rPr>
              <w:t>السورة</w:t>
            </w:r>
          </w:p>
        </w:tc>
      </w:tr>
      <w:tr>
        <w:trPr>
          <w:cantSplit/>
        </w:trPr>
        <w:tc>
          <w:tcPr>
            <w:tcW w:type="dxa" w:w="3952"/>
            <w:vAlign w:val="center"/>
          </w:tcPr>
          <w:p>
            <w:pPr>
              <w:spacing w:line="283" w:lineRule="auto" w:after="0"/>
              <w:jc w:val="right"/>
              <w:bidi/>
            </w:pPr>
            <w:r>
              <w:rPr>
                <w:sz w:val="18"/>
              </w:rPr>
              <w:t>ayah</w:t>
            </w:r>
          </w:p>
        </w:tc>
        <w:tc>
          <w:tcPr>
            <w:tcW w:type="dxa" w:w="3952"/>
            <w:vAlign w:val="center"/>
          </w:tcPr>
          <w:p>
            <w:pPr>
              <w:spacing w:line="283" w:lineRule="auto" w:after="0"/>
              <w:jc w:val="right"/>
              <w:bidi/>
            </w:pPr>
            <w:r>
              <w:rPr>
                <w:sz w:val="18"/>
              </w:rPr>
              <w:t>الآية</w:t>
            </w:r>
          </w:p>
        </w:tc>
      </w:tr>
      <w:tr>
        <w:trPr>
          <w:cantSplit/>
        </w:trPr>
        <w:tc>
          <w:tcPr>
            <w:tcW w:type="dxa" w:w="3952"/>
            <w:vAlign w:val="center"/>
          </w:tcPr>
          <w:p>
            <w:pPr>
              <w:spacing w:line="283" w:lineRule="auto" w:after="0"/>
              <w:jc w:val="right"/>
              <w:bidi/>
            </w:pPr>
            <w:r>
              <w:rPr>
                <w:sz w:val="18"/>
              </w:rPr>
              <w:t>base_text</w:t>
            </w:r>
          </w:p>
        </w:tc>
        <w:tc>
          <w:tcPr>
            <w:tcW w:type="dxa" w:w="3952"/>
            <w:vAlign w:val="center"/>
          </w:tcPr>
          <w:p>
            <w:pPr>
              <w:spacing w:line="283" w:lineRule="auto" w:after="0"/>
              <w:jc w:val="right"/>
              <w:bidi/>
            </w:pPr>
            <w:r>
              <w:rPr>
                <w:sz w:val="18"/>
              </w:rPr>
              <w:t>النص المرجعي</w:t>
            </w:r>
          </w:p>
        </w:tc>
      </w:tr>
      <w:tr>
        <w:trPr>
          <w:cantSplit/>
        </w:trPr>
        <w:tc>
          <w:tcPr>
            <w:tcW w:type="dxa" w:w="3952"/>
            <w:vAlign w:val="center"/>
          </w:tcPr>
          <w:p>
            <w:pPr>
              <w:spacing w:line="283" w:lineRule="auto" w:after="0"/>
              <w:jc w:val="right"/>
              <w:bidi/>
            </w:pPr>
            <w:r>
              <w:rPr>
                <w:sz w:val="18"/>
              </w:rPr>
              <w:t>reading_form</w:t>
            </w:r>
          </w:p>
        </w:tc>
        <w:tc>
          <w:tcPr>
            <w:tcW w:type="dxa" w:w="3952"/>
            <w:vAlign w:val="center"/>
          </w:tcPr>
          <w:p>
            <w:pPr>
              <w:spacing w:line="283" w:lineRule="auto" w:after="0"/>
              <w:jc w:val="right"/>
              <w:bidi/>
            </w:pPr>
            <w:r>
              <w:rPr>
                <w:sz w:val="18"/>
              </w:rPr>
              <w:t>صيغة القراءة</w:t>
            </w:r>
          </w:p>
        </w:tc>
      </w:tr>
      <w:tr>
        <w:trPr>
          <w:cantSplit/>
        </w:trPr>
        <w:tc>
          <w:tcPr>
            <w:tcW w:type="dxa" w:w="3952"/>
            <w:vAlign w:val="center"/>
          </w:tcPr>
          <w:p>
            <w:pPr>
              <w:spacing w:line="283" w:lineRule="auto" w:after="0"/>
              <w:jc w:val="right"/>
              <w:bidi/>
            </w:pPr>
            <w:r>
              <w:rPr>
                <w:sz w:val="18"/>
              </w:rPr>
              <w:t>reader</w:t>
            </w:r>
          </w:p>
        </w:tc>
        <w:tc>
          <w:tcPr>
            <w:tcW w:type="dxa" w:w="3952"/>
            <w:vAlign w:val="center"/>
          </w:tcPr>
          <w:p>
            <w:pPr>
              <w:spacing w:line="283" w:lineRule="auto" w:after="0"/>
              <w:jc w:val="right"/>
              <w:bidi/>
            </w:pPr>
            <w:r>
              <w:rPr>
                <w:sz w:val="18"/>
              </w:rPr>
              <w:t>القارئ</w:t>
            </w:r>
          </w:p>
        </w:tc>
      </w:tr>
      <w:tr>
        <w:trPr>
          <w:cantSplit/>
        </w:trPr>
        <w:tc>
          <w:tcPr>
            <w:tcW w:type="dxa" w:w="3952"/>
            <w:vAlign w:val="center"/>
          </w:tcPr>
          <w:p>
            <w:pPr>
              <w:spacing w:line="283" w:lineRule="auto" w:after="0"/>
              <w:jc w:val="right"/>
              <w:bidi/>
            </w:pPr>
            <w:r>
              <w:rPr>
                <w:sz w:val="18"/>
              </w:rPr>
              <w:t>rawi</w:t>
            </w:r>
          </w:p>
        </w:tc>
        <w:tc>
          <w:tcPr>
            <w:tcW w:type="dxa" w:w="3952"/>
            <w:vAlign w:val="center"/>
          </w:tcPr>
          <w:p>
            <w:pPr>
              <w:spacing w:line="283" w:lineRule="auto" w:after="0"/>
              <w:jc w:val="right"/>
              <w:bidi/>
            </w:pPr>
            <w:r>
              <w:rPr>
                <w:sz w:val="18"/>
              </w:rPr>
              <w:t>الراوي</w:t>
            </w:r>
          </w:p>
        </w:tc>
      </w:tr>
      <w:tr>
        <w:trPr>
          <w:cantSplit/>
        </w:trPr>
        <w:tc>
          <w:tcPr>
            <w:tcW w:type="dxa" w:w="3952"/>
            <w:vAlign w:val="center"/>
          </w:tcPr>
          <w:p>
            <w:pPr>
              <w:spacing w:line="283" w:lineRule="auto" w:after="0"/>
              <w:jc w:val="right"/>
              <w:bidi/>
            </w:pPr>
            <w:r>
              <w:rPr>
                <w:sz w:val="18"/>
              </w:rPr>
              <w:t>path</w:t>
            </w:r>
          </w:p>
        </w:tc>
        <w:tc>
          <w:tcPr>
            <w:tcW w:type="dxa" w:w="3952"/>
            <w:vAlign w:val="center"/>
          </w:tcPr>
          <w:p>
            <w:pPr>
              <w:spacing w:line="283" w:lineRule="auto" w:after="0"/>
              <w:jc w:val="right"/>
              <w:bidi/>
            </w:pPr>
            <w:r>
              <w:rPr>
                <w:sz w:val="18"/>
              </w:rPr>
              <w:t>الطريق</w:t>
            </w:r>
          </w:p>
        </w:tc>
      </w:tr>
      <w:tr>
        <w:trPr>
          <w:cantSplit/>
        </w:trPr>
        <w:tc>
          <w:tcPr>
            <w:tcW w:type="dxa" w:w="3952"/>
            <w:vAlign w:val="center"/>
          </w:tcPr>
          <w:p>
            <w:pPr>
              <w:spacing w:line="283" w:lineRule="auto" w:after="0"/>
              <w:jc w:val="right"/>
              <w:bidi/>
            </w:pPr>
            <w:r>
              <w:rPr>
                <w:sz w:val="18"/>
              </w:rPr>
              <w:t>wajh</w:t>
            </w:r>
          </w:p>
        </w:tc>
        <w:tc>
          <w:tcPr>
            <w:tcW w:type="dxa" w:w="3952"/>
            <w:vAlign w:val="center"/>
          </w:tcPr>
          <w:p>
            <w:pPr>
              <w:spacing w:line="283" w:lineRule="auto" w:after="0"/>
              <w:jc w:val="right"/>
              <w:bidi/>
            </w:pPr>
            <w:r>
              <w:rPr>
                <w:sz w:val="18"/>
              </w:rPr>
              <w:t>الوجه</w:t>
            </w:r>
          </w:p>
        </w:tc>
      </w:tr>
      <w:tr>
        <w:trPr>
          <w:cantSplit/>
        </w:trPr>
        <w:tc>
          <w:tcPr>
            <w:tcW w:type="dxa" w:w="3952"/>
            <w:vAlign w:val="center"/>
          </w:tcPr>
          <w:p>
            <w:pPr>
              <w:spacing w:line="283" w:lineRule="auto" w:after="0"/>
              <w:jc w:val="right"/>
              <w:bidi/>
            </w:pPr>
            <w:r>
              <w:rPr>
                <w:sz w:val="18"/>
              </w:rPr>
              <w:t>source</w:t>
            </w:r>
          </w:p>
        </w:tc>
        <w:tc>
          <w:tcPr>
            <w:tcW w:type="dxa" w:w="3952"/>
            <w:vAlign w:val="center"/>
          </w:tcPr>
          <w:p>
            <w:pPr>
              <w:spacing w:line="283" w:lineRule="auto" w:after="0"/>
              <w:jc w:val="right"/>
              <w:bidi/>
            </w:pPr>
            <w:r>
              <w:rPr>
                <w:sz w:val="18"/>
              </w:rPr>
              <w:t>المصدر</w:t>
            </w:r>
          </w:p>
        </w:tc>
      </w:tr>
      <w:tr>
        <w:trPr>
          <w:cantSplit/>
        </w:trPr>
        <w:tc>
          <w:tcPr>
            <w:tcW w:type="dxa" w:w="3952"/>
            <w:vAlign w:val="center"/>
          </w:tcPr>
          <w:p>
            <w:pPr>
              <w:spacing w:line="283" w:lineRule="auto" w:after="0"/>
              <w:jc w:val="right"/>
              <w:bidi/>
            </w:pPr>
            <w:r>
              <w:rPr>
                <w:sz w:val="18"/>
              </w:rPr>
              <w:t>transmission_status</w:t>
            </w:r>
          </w:p>
        </w:tc>
        <w:tc>
          <w:tcPr>
            <w:tcW w:type="dxa" w:w="3952"/>
            <w:vAlign w:val="center"/>
          </w:tcPr>
          <w:p>
            <w:pPr>
              <w:spacing w:line="283" w:lineRule="auto" w:after="0"/>
              <w:jc w:val="right"/>
              <w:bidi/>
            </w:pPr>
            <w:r>
              <w:rPr>
                <w:sz w:val="18"/>
              </w:rPr>
              <w:t>درجة النقل</w:t>
            </w:r>
          </w:p>
        </w:tc>
      </w:tr>
      <w:tr>
        <w:trPr>
          <w:cantSplit/>
        </w:trPr>
        <w:tc>
          <w:tcPr>
            <w:tcW w:type="dxa" w:w="3952"/>
            <w:vAlign w:val="center"/>
          </w:tcPr>
          <w:p>
            <w:pPr>
              <w:spacing w:line="283" w:lineRule="auto" w:after="0"/>
              <w:jc w:val="right"/>
              <w:bidi/>
            </w:pPr>
            <w:r>
              <w:rPr>
                <w:sz w:val="18"/>
              </w:rPr>
              <w:t>rasm_fit</w:t>
            </w:r>
          </w:p>
        </w:tc>
        <w:tc>
          <w:tcPr>
            <w:tcW w:type="dxa" w:w="3952"/>
            <w:vAlign w:val="center"/>
          </w:tcPr>
          <w:p>
            <w:pPr>
              <w:spacing w:line="283" w:lineRule="auto" w:after="0"/>
              <w:jc w:val="right"/>
              <w:bidi/>
            </w:pPr>
            <w:r>
              <w:rPr>
                <w:sz w:val="18"/>
              </w:rPr>
              <w:t>علاقة الرسم</w:t>
            </w:r>
          </w:p>
        </w:tc>
      </w:tr>
      <w:tr>
        <w:trPr>
          <w:cantSplit/>
        </w:trPr>
        <w:tc>
          <w:tcPr>
            <w:tcW w:type="dxa" w:w="3952"/>
            <w:vAlign w:val="center"/>
          </w:tcPr>
          <w:p>
            <w:pPr>
              <w:spacing w:line="283" w:lineRule="auto" w:after="0"/>
              <w:jc w:val="right"/>
              <w:bidi/>
            </w:pPr>
            <w:r>
              <w:rPr>
                <w:sz w:val="18"/>
              </w:rPr>
              <w:t>linguistic_analysis</w:t>
            </w:r>
          </w:p>
        </w:tc>
        <w:tc>
          <w:tcPr>
            <w:tcW w:type="dxa" w:w="3952"/>
            <w:vAlign w:val="center"/>
          </w:tcPr>
          <w:p>
            <w:pPr>
              <w:spacing w:line="283" w:lineRule="auto" w:after="0"/>
              <w:jc w:val="right"/>
              <w:bidi/>
            </w:pPr>
            <w:r>
              <w:rPr>
                <w:sz w:val="18"/>
              </w:rPr>
              <w:t>التحليل اللساني</w:t>
            </w:r>
          </w:p>
        </w:tc>
      </w:tr>
      <w:tr>
        <w:trPr>
          <w:cantSplit/>
        </w:trPr>
        <w:tc>
          <w:tcPr>
            <w:tcW w:type="dxa" w:w="3952"/>
            <w:vAlign w:val="center"/>
          </w:tcPr>
          <w:p>
            <w:pPr>
              <w:spacing w:line="283" w:lineRule="auto" w:after="0"/>
              <w:jc w:val="right"/>
              <w:bidi/>
            </w:pPr>
            <w:r>
              <w:rPr>
                <w:sz w:val="18"/>
              </w:rPr>
              <w:t>variant_type</w:t>
            </w:r>
          </w:p>
        </w:tc>
        <w:tc>
          <w:tcPr>
            <w:tcW w:type="dxa" w:w="3952"/>
            <w:vAlign w:val="center"/>
          </w:tcPr>
          <w:p>
            <w:pPr>
              <w:spacing w:line="283" w:lineRule="auto" w:after="0"/>
              <w:jc w:val="right"/>
              <w:bidi/>
            </w:pPr>
            <w:r>
              <w:rPr>
                <w:sz w:val="18"/>
              </w:rPr>
              <w:t>نوع الاختلاف</w:t>
            </w:r>
          </w:p>
        </w:tc>
      </w:tr>
      <w:tr>
        <w:trPr>
          <w:cantSplit/>
        </w:trPr>
        <w:tc>
          <w:tcPr>
            <w:tcW w:type="dxa" w:w="3952"/>
            <w:vAlign w:val="center"/>
          </w:tcPr>
          <w:p>
            <w:pPr>
              <w:spacing w:line="283" w:lineRule="auto" w:after="0"/>
              <w:jc w:val="right"/>
              <w:bidi/>
            </w:pPr>
            <w:r>
              <w:rPr>
                <w:sz w:val="18"/>
              </w:rPr>
              <w:t>semantic_effect</w:t>
            </w:r>
          </w:p>
        </w:tc>
        <w:tc>
          <w:tcPr>
            <w:tcW w:type="dxa" w:w="3952"/>
            <w:vAlign w:val="center"/>
          </w:tcPr>
          <w:p>
            <w:pPr>
              <w:spacing w:line="283" w:lineRule="auto" w:after="0"/>
              <w:jc w:val="right"/>
              <w:bidi/>
            </w:pPr>
            <w:r>
              <w:rPr>
                <w:sz w:val="18"/>
              </w:rPr>
              <w:t>الأثر الدلالي</w:t>
            </w:r>
          </w:p>
        </w:tc>
      </w:tr>
      <w:tr>
        <w:trPr>
          <w:cantSplit/>
        </w:trPr>
        <w:tc>
          <w:tcPr>
            <w:tcW w:type="dxa" w:w="3952"/>
            <w:vAlign w:val="center"/>
          </w:tcPr>
          <w:p>
            <w:pPr>
              <w:spacing w:line="283" w:lineRule="auto" w:after="0"/>
              <w:jc w:val="right"/>
              <w:bidi/>
            </w:pPr>
            <w:r>
              <w:rPr>
                <w:sz w:val="18"/>
              </w:rPr>
              <w:t>context_effect</w:t>
            </w:r>
          </w:p>
        </w:tc>
        <w:tc>
          <w:tcPr>
            <w:tcW w:type="dxa" w:w="3952"/>
            <w:vAlign w:val="center"/>
          </w:tcPr>
          <w:p>
            <w:pPr>
              <w:spacing w:line="283" w:lineRule="auto" w:after="0"/>
              <w:jc w:val="right"/>
              <w:bidi/>
            </w:pPr>
            <w:r>
              <w:rPr>
                <w:sz w:val="18"/>
              </w:rPr>
              <w:t>أثر السياق</w:t>
            </w:r>
          </w:p>
        </w:tc>
      </w:tr>
      <w:tr>
        <w:trPr>
          <w:cantSplit/>
        </w:trPr>
        <w:tc>
          <w:tcPr>
            <w:tcW w:type="dxa" w:w="3952"/>
            <w:vAlign w:val="center"/>
          </w:tcPr>
          <w:p>
            <w:pPr>
              <w:spacing w:line="283" w:lineRule="auto" w:after="0"/>
              <w:jc w:val="right"/>
              <w:bidi/>
            </w:pPr>
            <w:r>
              <w:rPr>
                <w:sz w:val="18"/>
              </w:rPr>
              <w:t>concept_effect</w:t>
            </w:r>
          </w:p>
        </w:tc>
        <w:tc>
          <w:tcPr>
            <w:tcW w:type="dxa" w:w="3952"/>
            <w:vAlign w:val="center"/>
          </w:tcPr>
          <w:p>
            <w:pPr>
              <w:spacing w:line="283" w:lineRule="auto" w:after="0"/>
              <w:jc w:val="right"/>
              <w:bidi/>
            </w:pPr>
            <w:r>
              <w:rPr>
                <w:sz w:val="18"/>
              </w:rPr>
              <w:t>الأثر المفهومي</w:t>
            </w:r>
          </w:p>
        </w:tc>
      </w:tr>
      <w:tr>
        <w:trPr>
          <w:cantSplit/>
        </w:trPr>
        <w:tc>
          <w:tcPr>
            <w:tcW w:type="dxa" w:w="3952"/>
            <w:vAlign w:val="center"/>
          </w:tcPr>
          <w:p>
            <w:pPr>
              <w:spacing w:line="283" w:lineRule="auto" w:after="0"/>
              <w:jc w:val="right"/>
              <w:bidi/>
            </w:pPr>
            <w:r>
              <w:rPr>
                <w:sz w:val="18"/>
              </w:rPr>
              <w:t>legal_effect</w:t>
            </w:r>
          </w:p>
        </w:tc>
        <w:tc>
          <w:tcPr>
            <w:tcW w:type="dxa" w:w="3952"/>
            <w:vAlign w:val="center"/>
          </w:tcPr>
          <w:p>
            <w:pPr>
              <w:spacing w:line="283" w:lineRule="auto" w:after="0"/>
              <w:jc w:val="right"/>
              <w:bidi/>
            </w:pPr>
            <w:r>
              <w:rPr>
                <w:sz w:val="18"/>
              </w:rPr>
              <w:t>الأثر الفقهي إن وجد</w:t>
            </w:r>
          </w:p>
        </w:tc>
      </w:tr>
      <w:tr>
        <w:trPr>
          <w:cantSplit/>
        </w:trP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القرائن النافية</w:t>
            </w:r>
          </w:p>
        </w:tc>
      </w:tr>
      <w:tr>
        <w:trPr>
          <w:cantSplit/>
        </w:trPr>
        <w:tc>
          <w:tcPr>
            <w:tcW w:type="dxa" w:w="3952"/>
            <w:vAlign w:val="center"/>
          </w:tcPr>
          <w:p>
            <w:pPr>
              <w:spacing w:line="283" w:lineRule="auto" w:after="0"/>
              <w:jc w:val="right"/>
              <w:bidi/>
            </w:pPr>
            <w:r>
              <w:rPr>
                <w:sz w:val="18"/>
              </w:rPr>
              <w:t>alternative_explanation</w:t>
            </w:r>
          </w:p>
        </w:tc>
        <w:tc>
          <w:tcPr>
            <w:tcW w:type="dxa" w:w="3952"/>
            <w:vAlign w:val="center"/>
          </w:tcPr>
          <w:p>
            <w:pPr>
              <w:spacing w:line="283" w:lineRule="auto" w:after="0"/>
              <w:jc w:val="right"/>
              <w:bidi/>
            </w:pPr>
            <w:r>
              <w:rPr>
                <w:sz w:val="18"/>
              </w:rPr>
              <w:t>التفسير المنافس</w:t>
            </w:r>
          </w:p>
        </w:tc>
      </w:tr>
      <w:tr>
        <w:trPr>
          <w:cantSplit/>
        </w:trPr>
        <w:tc>
          <w:tcPr>
            <w:tcW w:type="dxa" w:w="3952"/>
            <w:vAlign w:val="center"/>
          </w:tcPr>
          <w:p>
            <w:pPr>
              <w:spacing w:line="283" w:lineRule="auto" w:after="0"/>
              <w:jc w:val="right"/>
              <w:bidi/>
            </w:pPr>
            <w:r>
              <w:rPr>
                <w:sz w:val="18"/>
              </w:rPr>
              <w:t>assessment</w:t>
            </w:r>
          </w:p>
        </w:tc>
        <w:tc>
          <w:tcPr>
            <w:tcW w:type="dxa" w:w="3952"/>
            <w:vAlign w:val="center"/>
          </w:tcPr>
          <w:p>
            <w:pPr>
              <w:spacing w:line="283" w:lineRule="auto" w:after="0"/>
              <w:jc w:val="right"/>
              <w:bidi/>
            </w:pPr>
            <w:r>
              <w:rPr>
                <w:sz w:val="18"/>
              </w:rPr>
              <w:t>الحكم</w:t>
            </w:r>
          </w:p>
        </w:tc>
      </w:tr>
      <w:tr>
        <w:trPr>
          <w:cantSplit/>
        </w:trP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درجة الثقة</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bl>
    <w:p/>
    <w:p>
      <w:pPr>
        <w:spacing w:line="283" w:lineRule="auto" w:after="80"/>
        <w:ind w:firstLine="397"/>
        <w:jc w:val="both"/>
        <w:bidi/>
      </w:pPr>
      <w:r>
        <w:t>reading_record_id: معرف السجل. ويجب أن يبقى الحقل منفصلاً عن الحقول المجاورة حتى لا يختلط وصف البيانات بتفسيرها أو الحكم عليها.</w:t>
      </w:r>
    </w:p>
    <w:p>
      <w:pPr>
        <w:spacing w:line="283" w:lineRule="auto" w:after="80"/>
        <w:ind w:firstLine="397"/>
        <w:jc w:val="both"/>
        <w:bidi/>
      </w:pPr>
      <w:r>
        <w:t>surah: السورة. ويجب أن يبقى الحقل منفصلاً عن الحقول المجاورة حتى لا يختلط وصف البيانات بتفسيرها أو الحكم عليها.</w:t>
      </w:r>
    </w:p>
    <w:p>
      <w:pPr>
        <w:spacing w:line="283" w:lineRule="auto" w:after="80"/>
        <w:ind w:firstLine="397"/>
        <w:jc w:val="both"/>
        <w:bidi/>
      </w:pPr>
      <w:r>
        <w:t>ayah: الآية. ويجب أن يبقى الحقل منفصلاً عن الحقول المجاورة حتى لا يختلط وصف البيانات بتفسيرها أو الحكم عليها.</w:t>
      </w:r>
    </w:p>
    <w:p>
      <w:pPr>
        <w:spacing w:line="283" w:lineRule="auto" w:after="80"/>
        <w:ind w:firstLine="397"/>
        <w:jc w:val="both"/>
        <w:bidi/>
      </w:pPr>
      <w:r>
        <w:t>base_text: النص المرجعي. ويجب أن يبقى الحقل منفصلاً عن الحقول المجاورة حتى لا يختلط وصف البيانات بتفسيرها أو الحكم عليها.</w:t>
      </w:r>
    </w:p>
    <w:p>
      <w:pPr>
        <w:spacing w:line="283" w:lineRule="auto" w:after="80"/>
        <w:ind w:firstLine="397"/>
        <w:jc w:val="both"/>
        <w:bidi/>
      </w:pPr>
      <w:r>
        <w:t>reading_form: صيغة القراءة. ويجب أن يبقى الحقل منفصلاً عن الحقول المجاورة حتى لا يختلط وصف البيانات بتفسيرها أو الحكم عليها.</w:t>
      </w:r>
    </w:p>
    <w:p>
      <w:pPr>
        <w:spacing w:line="283" w:lineRule="auto" w:after="80"/>
        <w:ind w:firstLine="397"/>
        <w:jc w:val="both"/>
        <w:bidi/>
      </w:pPr>
      <w:r>
        <w:t>reader: القارئ. ويجب أن يبقى الحقل منفصلاً عن الحقول المجاورة حتى لا يختلط وصف البيانات بتفسيرها أو الحكم عليها.</w:t>
      </w:r>
    </w:p>
    <w:p>
      <w:pPr>
        <w:spacing w:line="283" w:lineRule="auto" w:after="80"/>
        <w:ind w:firstLine="397"/>
        <w:jc w:val="both"/>
        <w:bidi/>
      </w:pPr>
      <w:r>
        <w:t>rawi: الراوي. ويجب أن يبقى الحقل منفصلاً عن الحقول المجاورة حتى لا يختلط وصف البيانات بتفسيرها أو الحكم عليها.</w:t>
      </w:r>
    </w:p>
    <w:p>
      <w:pPr>
        <w:spacing w:line="283" w:lineRule="auto" w:after="80"/>
        <w:ind w:firstLine="397"/>
        <w:jc w:val="both"/>
        <w:bidi/>
      </w:pPr>
      <w:r>
        <w:t>path: الطريق. ويجب أن يبقى الحقل منفصلاً عن الحقول المجاورة حتى لا يختلط وصف البيانات بتفسيرها أو الحكم عليها.</w:t>
      </w:r>
    </w:p>
    <w:p>
      <w:pPr>
        <w:spacing w:line="283" w:lineRule="auto" w:after="80"/>
        <w:ind w:firstLine="397"/>
        <w:jc w:val="both"/>
        <w:bidi/>
      </w:pPr>
      <w:r>
        <w:t>wajh: الوجه. ويجب أن يبقى الحقل منفصلاً عن الحقول المجاورة حتى لا يختلط وصف البيانات بتفسيرها أو الحكم عليها.</w:t>
      </w:r>
    </w:p>
    <w:p>
      <w:pPr>
        <w:spacing w:line="283" w:lineRule="auto" w:after="80"/>
        <w:ind w:firstLine="397"/>
        <w:jc w:val="both"/>
        <w:bidi/>
      </w:pPr>
      <w:r>
        <w:t>source: المصدر. ويجب أن يبقى الحقل منفصلاً عن الحقول المجاورة حتى لا يختلط وصف البيانات بتفسيرها أو الحكم عليها.</w:t>
      </w:r>
    </w:p>
    <w:p>
      <w:pPr>
        <w:spacing w:line="283" w:lineRule="auto" w:after="80"/>
        <w:ind w:firstLine="397"/>
        <w:jc w:val="both"/>
        <w:bidi/>
      </w:pPr>
      <w:r>
        <w:t>transmission_status: درجة النقل. ويجب أن يبقى الحقل منفصلاً عن الحقول المجاورة حتى لا يختلط وصف البيانات بتفسيرها أو الحكم عليها.</w:t>
      </w:r>
    </w:p>
    <w:p>
      <w:pPr>
        <w:spacing w:line="283" w:lineRule="auto" w:after="80"/>
        <w:ind w:firstLine="397"/>
        <w:jc w:val="both"/>
        <w:bidi/>
      </w:pPr>
      <w:r>
        <w:t>rasm_fit: علاقة الرسم. ويجب أن يبقى الحقل منفصلاً عن الحقول المجاورة حتى لا يختلط وصف البيانات بتفسيرها أو الحكم عليها.</w:t>
      </w:r>
    </w:p>
    <w:p>
      <w:pPr>
        <w:spacing w:line="283" w:lineRule="auto" w:after="80"/>
        <w:ind w:firstLine="397"/>
        <w:jc w:val="both"/>
        <w:bidi/>
      </w:pPr>
      <w:r>
        <w:t>linguistic_analysis: التحليل اللساني. ويجب أن يبقى الحقل منفصلاً عن الحقول المجاورة حتى لا يختلط وصف البيانات بتفسيرها أو الحكم عليها.</w:t>
      </w:r>
    </w:p>
    <w:p>
      <w:pPr>
        <w:spacing w:line="283" w:lineRule="auto" w:after="80"/>
        <w:ind w:firstLine="397"/>
        <w:jc w:val="both"/>
        <w:bidi/>
      </w:pPr>
      <w:r>
        <w:t>variant_type: نوع الاختلاف. ويجب أن يبقى الحقل منفصلاً عن الحقول المجاورة حتى لا يختلط وصف البيانات بتفسيرها أو الحكم عليها.</w:t>
      </w:r>
    </w:p>
    <w:p>
      <w:pPr>
        <w:spacing w:line="283" w:lineRule="auto" w:after="80"/>
        <w:ind w:firstLine="397"/>
        <w:jc w:val="both"/>
        <w:bidi/>
      </w:pPr>
      <w:r>
        <w:t>semantic_effect: الأثر الدلالي. ويجب أن يبقى الحقل منفصلاً عن الحقول المجاورة حتى لا يختلط وصف البيانات بتفسيرها أو الحكم عليها.</w:t>
      </w:r>
    </w:p>
    <w:p>
      <w:pPr>
        <w:spacing w:line="283" w:lineRule="auto" w:after="80"/>
        <w:ind w:firstLine="397"/>
        <w:jc w:val="both"/>
        <w:bidi/>
      </w:pPr>
      <w:r>
        <w:t>context_effect: أثر السياق. ويجب أن يبقى الحقل منفصلاً عن الحقول المجاورة حتى لا يختلط وصف البيانات بتفسيرها أو الحكم عليها.</w:t>
      </w:r>
    </w:p>
    <w:p>
      <w:pPr>
        <w:spacing w:line="283" w:lineRule="auto" w:after="80"/>
        <w:ind w:firstLine="397"/>
        <w:jc w:val="both"/>
        <w:bidi/>
      </w:pPr>
      <w:r>
        <w:t>concept_effect: الأثر المفهومي. ويجب أن يبقى الحقل منفصلاً عن الحقول المجاورة حتى لا يختلط وصف البيانات بتفسيرها أو الحكم عليها.</w:t>
      </w:r>
    </w:p>
    <w:p>
      <w:pPr>
        <w:spacing w:line="283" w:lineRule="auto" w:after="80"/>
        <w:ind w:firstLine="397"/>
        <w:jc w:val="both"/>
        <w:bidi/>
      </w:pPr>
      <w:r>
        <w:t>legal_effect: الأثر الفقهي إن وجد. ويجب أن يبقى الحقل منفصلاً عن الحقول المجاورة حتى لا يختلط وصف البيانات بتفسيرها أو الحكم عليها.</w:t>
      </w:r>
    </w:p>
    <w:p>
      <w:pPr>
        <w:spacing w:line="283" w:lineRule="auto" w:after="80"/>
        <w:ind w:firstLine="397"/>
        <w:jc w:val="both"/>
        <w:bidi/>
      </w:pPr>
      <w:r>
        <w:t>counter_evidence: القرائن النافية. ويجب أن يبقى الحقل منفصلاً عن الحقول المجاورة حتى لا يختلط وصف البيانات بتفسيرها أو الحكم عليها.</w:t>
      </w:r>
    </w:p>
    <w:p>
      <w:pPr>
        <w:spacing w:line="283" w:lineRule="auto" w:after="80"/>
        <w:ind w:firstLine="397"/>
        <w:jc w:val="both"/>
        <w:bidi/>
      </w:pPr>
      <w:r>
        <w:t>alternative_explanation: التفسير المنافس. ويجب أن يبقى الحقل منفصلاً عن الحقول المجاورة حتى لا يختلط وصف البيانات بتفسيرها أو الحكم عليها.</w:t>
      </w:r>
    </w:p>
    <w:p>
      <w:pPr>
        <w:spacing w:line="283" w:lineRule="auto" w:after="80"/>
        <w:ind w:firstLine="397"/>
        <w:jc w:val="both"/>
        <w:bidi/>
      </w:pPr>
      <w:r>
        <w:t>assessment: الحكم. ويجب أن يبقى الحقل منفصلاً عن الحقول المجاورة حتى لا يختلط وصف البيانات بتفسيرها أو الحكم عليها.</w:t>
      </w:r>
    </w:p>
    <w:p>
      <w:pPr>
        <w:spacing w:line="283" w:lineRule="auto" w:after="80"/>
        <w:ind w:firstLine="397"/>
        <w:jc w:val="both"/>
        <w:bidi/>
      </w:pPr>
      <w:r>
        <w:t>confidence: درجة الثقة. ويجب أن يبقى الحقل منفصلاً عن الحقول المجاورة حتى لا يختلط وصف البيانات بتفسيرها أو الحكم عليها.</w:t>
      </w:r>
    </w:p>
    <w:p>
      <w:pPr>
        <w:spacing w:line="283" w:lineRule="auto" w:after="80"/>
        <w:ind w:firstLine="397"/>
        <w:jc w:val="both"/>
        <w:bidi/>
      </w:pPr>
      <w:r>
        <w:t>reviewer: المراجع. ويجب أن يبقى الحقل منفصلاً عن الحقول المجاورة حتى لا يختلط وصف البيانات بتفسيرها أو الحكم عليها.</w:t>
      </w:r>
    </w:p>
    <w:p>
      <w:pPr>
        <w:spacing w:line="283" w:lineRule="auto" w:after="80"/>
        <w:ind w:firstLine="397"/>
        <w:jc w:val="both"/>
        <w:bidi/>
      </w:pPr>
      <w:r>
        <w:t>version: الإصدار. ويجب أن يبقى الحقل منفصلاً عن الحقول المجاورة حتى لا يختلط وصف البيانات بتفسيرها أو الحكم عليها.</w:t>
      </w:r>
    </w:p>
    <w:p>
      <w:r>
        <w:br w:type="page"/>
      </w:r>
    </w:p>
    <w:p>
      <w:pPr>
        <w:pStyle w:val="Heading1"/>
        <w:spacing w:line="283" w:lineRule="auto" w:after="120"/>
        <w:jc w:val="right"/>
        <w:keepNext/>
        <w:bidi/>
      </w:pPr>
      <w:r>
        <w:t>الأسئلة البحثية المفتوحة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المجال</w:t>
            </w:r>
          </w:p>
        </w:tc>
        <w:tc>
          <w:tcPr>
            <w:tcW w:type="dxa" w:w="3952"/>
            <w:vAlign w:val="center"/>
          </w:tcPr>
          <w:p>
            <w:pPr>
              <w:spacing w:line="283" w:lineRule="auto" w:after="0"/>
              <w:jc w:val="center"/>
              <w:bidi/>
            </w:pPr>
            <w:r>
              <w:rPr>
                <w:b/>
                <w:sz w:val="18"/>
              </w:rPr>
              <w:t>السؤال</w:t>
            </w:r>
          </w:p>
        </w:tc>
      </w:tr>
      <w:tr>
        <w:trPr>
          <w:cantSplit/>
        </w:trPr>
        <w:tc>
          <w:tcPr>
            <w:tcW w:type="dxa" w:w="3952"/>
            <w:vAlign w:val="center"/>
          </w:tcPr>
          <w:p>
            <w:pPr>
              <w:spacing w:line="283" w:lineRule="auto" w:after="0"/>
              <w:jc w:val="right"/>
              <w:bidi/>
            </w:pPr>
            <w:r>
              <w:rPr>
                <w:sz w:val="18"/>
              </w:rPr>
              <w:t>حد التواتر في القراءات</w:t>
            </w:r>
          </w:p>
        </w:tc>
        <w:tc>
          <w:tcPr>
            <w:tcW w:type="dxa" w:w="3952"/>
            <w:vAlign w:val="center"/>
          </w:tcPr>
          <w:p>
            <w:pPr>
              <w:spacing w:line="283" w:lineRule="auto" w:after="0"/>
              <w:jc w:val="right"/>
              <w:bidi/>
            </w:pPr>
            <w:r>
              <w:rPr>
                <w:sz w:val="18"/>
              </w:rPr>
              <w:t>كيف يُصاغ معيار تاريخي قابل للاختبار مع اختلاف تعريفات التواتر والطرق؟</w:t>
            </w:r>
          </w:p>
        </w:tc>
      </w:tr>
      <w:tr>
        <w:trPr>
          <w:cantSplit/>
        </w:trPr>
        <w:tc>
          <w:tcPr>
            <w:tcW w:type="dxa" w:w="3952"/>
            <w:vAlign w:val="center"/>
          </w:tcPr>
          <w:p>
            <w:pPr>
              <w:spacing w:line="283" w:lineRule="auto" w:after="0"/>
              <w:jc w:val="right"/>
              <w:bidi/>
            </w:pPr>
            <w:r>
              <w:rPr>
                <w:sz w:val="18"/>
              </w:rPr>
              <w:t>العلاقة بين الأحرف والقراءات</w:t>
            </w:r>
          </w:p>
        </w:tc>
        <w:tc>
          <w:tcPr>
            <w:tcW w:type="dxa" w:w="3952"/>
            <w:vAlign w:val="center"/>
          </w:tcPr>
          <w:p>
            <w:pPr>
              <w:spacing w:line="283" w:lineRule="auto" w:after="0"/>
              <w:jc w:val="right"/>
              <w:bidi/>
            </w:pPr>
            <w:r>
              <w:rPr>
                <w:sz w:val="18"/>
              </w:rPr>
              <w:t>ما الذي يمكن إثباته تاريخياً وما الذي يجب أن يبقى فرضية؟</w:t>
            </w:r>
          </w:p>
        </w:tc>
      </w:tr>
      <w:tr>
        <w:trPr>
          <w:cantSplit/>
        </w:trPr>
        <w:tc>
          <w:tcPr>
            <w:tcW w:type="dxa" w:w="3952"/>
            <w:vAlign w:val="center"/>
          </w:tcPr>
          <w:p>
            <w:pPr>
              <w:spacing w:line="283" w:lineRule="auto" w:after="0"/>
              <w:jc w:val="right"/>
              <w:bidi/>
            </w:pPr>
            <w:r>
              <w:rPr>
                <w:sz w:val="18"/>
              </w:rPr>
              <w:t>تاريخ الرسم</w:t>
            </w:r>
          </w:p>
        </w:tc>
        <w:tc>
          <w:tcPr>
            <w:tcW w:type="dxa" w:w="3952"/>
            <w:vAlign w:val="center"/>
          </w:tcPr>
          <w:p>
            <w:pPr>
              <w:spacing w:line="283" w:lineRule="auto" w:after="0"/>
              <w:jc w:val="right"/>
              <w:bidi/>
            </w:pPr>
            <w:r>
              <w:rPr>
                <w:sz w:val="18"/>
              </w:rPr>
              <w:t>كيف تتفاعل الشواهد المخطوطية مع الروايات من غير اختزال أحدهما في الآخر؟</w:t>
            </w:r>
          </w:p>
        </w:tc>
      </w:tr>
      <w:tr>
        <w:trPr>
          <w:cantSplit/>
        </w:trPr>
        <w:tc>
          <w:tcPr>
            <w:tcW w:type="dxa" w:w="3952"/>
            <w:vAlign w:val="center"/>
          </w:tcPr>
          <w:p>
            <w:pPr>
              <w:spacing w:line="283" w:lineRule="auto" w:after="0"/>
              <w:jc w:val="right"/>
              <w:bidi/>
            </w:pPr>
            <w:r>
              <w:rPr>
                <w:sz w:val="18"/>
              </w:rPr>
              <w:t>القراءات غير المشهورة</w:t>
            </w:r>
          </w:p>
        </w:tc>
        <w:tc>
          <w:tcPr>
            <w:tcW w:type="dxa" w:w="3952"/>
            <w:vAlign w:val="center"/>
          </w:tcPr>
          <w:p>
            <w:pPr>
              <w:spacing w:line="283" w:lineRule="auto" w:after="0"/>
              <w:jc w:val="right"/>
              <w:bidi/>
            </w:pPr>
            <w:r>
              <w:rPr>
                <w:sz w:val="18"/>
              </w:rPr>
              <w:t>ما مراتب قيمتها اللغوية والتفسيرية والتاريخية؟</w:t>
            </w:r>
          </w:p>
        </w:tc>
      </w:tr>
      <w:tr>
        <w:trPr>
          <w:cantSplit/>
        </w:trPr>
        <w:tc>
          <w:tcPr>
            <w:tcW w:type="dxa" w:w="3952"/>
            <w:vAlign w:val="center"/>
          </w:tcPr>
          <w:p>
            <w:pPr>
              <w:spacing w:line="283" w:lineRule="auto" w:after="0"/>
              <w:jc w:val="right"/>
              <w:bidi/>
            </w:pPr>
            <w:r>
              <w:rPr>
                <w:sz w:val="18"/>
              </w:rPr>
              <w:t>تاريخ الأسانيد</w:t>
            </w:r>
          </w:p>
        </w:tc>
        <w:tc>
          <w:tcPr>
            <w:tcW w:type="dxa" w:w="3952"/>
            <w:vAlign w:val="center"/>
          </w:tcPr>
          <w:p>
            <w:pPr>
              <w:spacing w:line="283" w:lineRule="auto" w:after="0"/>
              <w:jc w:val="right"/>
              <w:bidi/>
            </w:pPr>
            <w:r>
              <w:rPr>
                <w:sz w:val="18"/>
              </w:rPr>
              <w:t>كيف نميز الاستقلال الحقيقي من تفرعات الكتب والمشيخات؟</w:t>
            </w:r>
          </w:p>
        </w:tc>
      </w:tr>
      <w:tr>
        <w:trPr>
          <w:cantSplit/>
        </w:trPr>
        <w:tc>
          <w:tcPr>
            <w:tcW w:type="dxa" w:w="3952"/>
            <w:vAlign w:val="center"/>
          </w:tcPr>
          <w:p>
            <w:pPr>
              <w:spacing w:line="283" w:lineRule="auto" w:after="0"/>
              <w:jc w:val="right"/>
              <w:bidi/>
            </w:pPr>
            <w:r>
              <w:rPr>
                <w:sz w:val="18"/>
              </w:rPr>
              <w:t>أثر القراءة في الفقه</w:t>
            </w:r>
          </w:p>
        </w:tc>
        <w:tc>
          <w:tcPr>
            <w:tcW w:type="dxa" w:w="3952"/>
            <w:vAlign w:val="center"/>
          </w:tcPr>
          <w:p>
            <w:pPr>
              <w:spacing w:line="283" w:lineRule="auto" w:after="0"/>
              <w:jc w:val="right"/>
              <w:bidi/>
            </w:pPr>
            <w:r>
              <w:rPr>
                <w:sz w:val="18"/>
              </w:rPr>
              <w:t>ما نسبة المسائل التي تغير فيها القراءة الحكم فعلاً بعد جمع بقية الأدلة؟</w:t>
            </w:r>
          </w:p>
        </w:tc>
      </w:tr>
      <w:tr>
        <w:trPr>
          <w:cantSplit/>
        </w:trPr>
        <w:tc>
          <w:tcPr>
            <w:tcW w:type="dxa" w:w="3952"/>
            <w:vAlign w:val="center"/>
          </w:tcPr>
          <w:p>
            <w:pPr>
              <w:spacing w:line="283" w:lineRule="auto" w:after="0"/>
              <w:jc w:val="right"/>
              <w:bidi/>
            </w:pPr>
            <w:r>
              <w:rPr>
                <w:sz w:val="18"/>
              </w:rPr>
              <w:t>أثر القراءة في المفهوم</w:t>
            </w:r>
          </w:p>
        </w:tc>
        <w:tc>
          <w:tcPr>
            <w:tcW w:type="dxa" w:w="3952"/>
            <w:vAlign w:val="center"/>
          </w:tcPr>
          <w:p>
            <w:pPr>
              <w:spacing w:line="283" w:lineRule="auto" w:after="0"/>
              <w:jc w:val="right"/>
              <w:bidi/>
            </w:pPr>
            <w:r>
              <w:rPr>
                <w:sz w:val="18"/>
              </w:rPr>
              <w:t>متى توسع القراءة المفهوم ومتى تبقى اختلاف أداء؟</w:t>
            </w:r>
          </w:p>
        </w:tc>
      </w:tr>
      <w:tr>
        <w:trPr>
          <w:cantSplit/>
        </w:trPr>
        <w:tc>
          <w:tcPr>
            <w:tcW w:type="dxa" w:w="3952"/>
            <w:vAlign w:val="center"/>
          </w:tcPr>
          <w:p>
            <w:pPr>
              <w:spacing w:line="283" w:lineRule="auto" w:after="0"/>
              <w:jc w:val="right"/>
              <w:bidi/>
            </w:pPr>
            <w:r>
              <w:rPr>
                <w:sz w:val="18"/>
              </w:rPr>
              <w:t>الحوسبة</w:t>
            </w:r>
          </w:p>
        </w:tc>
        <w:tc>
          <w:tcPr>
            <w:tcW w:type="dxa" w:w="3952"/>
            <w:vAlign w:val="center"/>
          </w:tcPr>
          <w:p>
            <w:pPr>
              <w:spacing w:line="283" w:lineRule="auto" w:after="0"/>
              <w:jc w:val="right"/>
              <w:bidi/>
            </w:pPr>
            <w:r>
              <w:rPr>
                <w:sz w:val="18"/>
              </w:rPr>
              <w:t>كيف تُبنى مدونة طرق قابلة للرسوم الشبكية والتدقيق؟</w:t>
            </w:r>
          </w:p>
        </w:tc>
      </w:tr>
      <w:tr>
        <w:trPr>
          <w:cantSplit/>
        </w:trPr>
        <w:tc>
          <w:tcPr>
            <w:tcW w:type="dxa" w:w="3952"/>
            <w:vAlign w:val="center"/>
          </w:tcPr>
          <w:p>
            <w:pPr>
              <w:spacing w:line="283" w:lineRule="auto" w:after="0"/>
              <w:jc w:val="right"/>
              <w:bidi/>
            </w:pPr>
            <w:r>
              <w:rPr>
                <w:sz w:val="18"/>
              </w:rPr>
              <w:t>التعليم</w:t>
            </w:r>
          </w:p>
        </w:tc>
        <w:tc>
          <w:tcPr>
            <w:tcW w:type="dxa" w:w="3952"/>
            <w:vAlign w:val="center"/>
          </w:tcPr>
          <w:p>
            <w:pPr>
              <w:spacing w:line="283" w:lineRule="auto" w:after="0"/>
              <w:jc w:val="right"/>
              <w:bidi/>
            </w:pPr>
            <w:r>
              <w:rPr>
                <w:sz w:val="18"/>
              </w:rPr>
              <w:t>كيف يدرس طالب التفسير القراءات من غير الغرق في الفن الصوتي أو اختزاله؟</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كيف تنقل الترجمات آثار القراءات من غير إنتاج نص مترجم مشوش؟</w:t>
            </w:r>
          </w:p>
        </w:tc>
      </w:tr>
      <w:tr>
        <w:trPr>
          <w:cantSplit/>
        </w:trPr>
        <w:tc>
          <w:tcPr>
            <w:tcW w:type="dxa" w:w="3952"/>
            <w:vAlign w:val="center"/>
          </w:tcPr>
          <w:p>
            <w:pPr>
              <w:spacing w:line="283" w:lineRule="auto" w:after="0"/>
              <w:jc w:val="right"/>
              <w:bidi/>
            </w:pPr>
            <w:r>
              <w:rPr>
                <w:sz w:val="18"/>
              </w:rPr>
              <w:t>الوحدة السُّورية</w:t>
            </w:r>
          </w:p>
        </w:tc>
        <w:tc>
          <w:tcPr>
            <w:tcW w:type="dxa" w:w="3952"/>
            <w:vAlign w:val="center"/>
          </w:tcPr>
          <w:p>
            <w:pPr>
              <w:spacing w:line="283" w:lineRule="auto" w:after="0"/>
              <w:jc w:val="right"/>
              <w:bidi/>
            </w:pPr>
            <w:r>
              <w:rPr>
                <w:sz w:val="18"/>
              </w:rPr>
              <w:t>هل تكشف القراءات روابط داخلية لم تُدرس بما يكفي؟</w:t>
            </w:r>
          </w:p>
        </w:tc>
      </w:tr>
      <w:tr>
        <w:trPr>
          <w:cantSplit/>
        </w:trPr>
        <w:tc>
          <w:tcPr>
            <w:tcW w:type="dxa" w:w="3952"/>
            <w:vAlign w:val="center"/>
          </w:tcPr>
          <w:p>
            <w:pPr>
              <w:spacing w:line="283" w:lineRule="auto" w:after="0"/>
              <w:jc w:val="right"/>
              <w:bidi/>
            </w:pPr>
            <w:r>
              <w:rPr>
                <w:sz w:val="18"/>
              </w:rPr>
              <w:t>الذكاء الاصطناعي</w:t>
            </w:r>
          </w:p>
        </w:tc>
        <w:tc>
          <w:tcPr>
            <w:tcW w:type="dxa" w:w="3952"/>
            <w:vAlign w:val="center"/>
          </w:tcPr>
          <w:p>
            <w:pPr>
              <w:spacing w:line="283" w:lineRule="auto" w:after="0"/>
              <w:jc w:val="right"/>
              <w:bidi/>
            </w:pPr>
            <w:r>
              <w:rPr>
                <w:sz w:val="18"/>
              </w:rPr>
              <w:t>ما حدود اقتراح التوجيهات الآلية وقياس تحيزها؟</w:t>
            </w:r>
          </w:p>
        </w:tc>
      </w:tr>
    </w:tbl>
    <w:p/>
    <w:p>
      <w:pPr>
        <w:pStyle w:val="Heading2"/>
        <w:spacing w:line="283" w:lineRule="auto" w:after="120"/>
        <w:jc w:val="right"/>
        <w:keepNext/>
        <w:bidi/>
      </w:pPr>
      <w:r>
        <w:t>حد التواتر في القراءات</w:t>
      </w:r>
    </w:p>
    <w:p>
      <w:pPr>
        <w:spacing w:line="283" w:lineRule="auto" w:after="80"/>
        <w:ind w:firstLine="397"/>
        <w:jc w:val="both"/>
        <w:bidi/>
      </w:pPr>
      <w:r>
        <w:t>كيف يُصاغ معيار تاريخي قابل للاختبار مع اختلاف تعريفات التواتر والطرق؟</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العلاقة بين الأحرف والقراءات</w:t>
      </w:r>
    </w:p>
    <w:p>
      <w:pPr>
        <w:spacing w:line="283" w:lineRule="auto" w:after="80"/>
        <w:ind w:firstLine="397"/>
        <w:jc w:val="both"/>
        <w:bidi/>
      </w:pPr>
      <w:r>
        <w:t>ما الذي يمكن إثباته تاريخياً وما الذي يجب أن يبقى فرضية؟</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تاريخ الرسم</w:t>
      </w:r>
    </w:p>
    <w:p>
      <w:pPr>
        <w:spacing w:line="283" w:lineRule="auto" w:after="80"/>
        <w:ind w:firstLine="397"/>
        <w:jc w:val="both"/>
        <w:bidi/>
      </w:pPr>
      <w:r>
        <w:t>كيف تتفاعل الشواهد المخطوطية مع الروايات من غير اختزال أحدهما في الآخر؟</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القراءات غير المشهورة</w:t>
      </w:r>
    </w:p>
    <w:p>
      <w:pPr>
        <w:spacing w:line="283" w:lineRule="auto" w:after="80"/>
        <w:ind w:firstLine="397"/>
        <w:jc w:val="both"/>
        <w:bidi/>
      </w:pPr>
      <w:r>
        <w:t>ما مراتب قيمتها اللغوية والتفسيرية والتاريخية؟</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تاريخ الأسانيد</w:t>
      </w:r>
    </w:p>
    <w:p>
      <w:pPr>
        <w:spacing w:line="283" w:lineRule="auto" w:after="80"/>
        <w:ind w:firstLine="397"/>
        <w:jc w:val="both"/>
        <w:bidi/>
      </w:pPr>
      <w:r>
        <w:t>كيف نميز الاستقلال الحقيقي من تفرعات الكتب والمشيخات؟</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أثر القراءة في الفقه</w:t>
      </w:r>
    </w:p>
    <w:p>
      <w:pPr>
        <w:spacing w:line="283" w:lineRule="auto" w:after="80"/>
        <w:ind w:firstLine="397"/>
        <w:jc w:val="both"/>
        <w:bidi/>
      </w:pPr>
      <w:r>
        <w:t>ما نسبة المسائل التي تغير فيها القراءة الحكم فعلاً بعد جمع بقية الأدلة؟</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أثر القراءة في المفهوم</w:t>
      </w:r>
    </w:p>
    <w:p>
      <w:pPr>
        <w:spacing w:line="283" w:lineRule="auto" w:after="80"/>
        <w:ind w:firstLine="397"/>
        <w:jc w:val="both"/>
        <w:bidi/>
      </w:pPr>
      <w:r>
        <w:t>متى توسع القراءة المفهوم ومتى تبقى اختلاف أداء؟</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الحوسبة</w:t>
      </w:r>
    </w:p>
    <w:p>
      <w:pPr>
        <w:spacing w:line="283" w:lineRule="auto" w:after="80"/>
        <w:ind w:firstLine="397"/>
        <w:jc w:val="both"/>
        <w:bidi/>
      </w:pPr>
      <w:r>
        <w:t>كيف تُبنى مدونة طرق قابلة للرسوم الشبكية والتدقيق؟</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التعليم</w:t>
      </w:r>
    </w:p>
    <w:p>
      <w:pPr>
        <w:spacing w:line="283" w:lineRule="auto" w:after="80"/>
        <w:ind w:firstLine="397"/>
        <w:jc w:val="both"/>
        <w:bidi/>
      </w:pPr>
      <w:r>
        <w:t>كيف يدرس طالب التفسير القراءات من غير الغرق في الفن الصوتي أو اختزاله؟</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الترجمة</w:t>
      </w:r>
    </w:p>
    <w:p>
      <w:pPr>
        <w:spacing w:line="283" w:lineRule="auto" w:after="80"/>
        <w:ind w:firstLine="397"/>
        <w:jc w:val="both"/>
        <w:bidi/>
      </w:pPr>
      <w:r>
        <w:t>كيف تنقل الترجمات آثار القراءات من غير إنتاج نص مترجم مشوش؟</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الوحدة السُّورية</w:t>
      </w:r>
    </w:p>
    <w:p>
      <w:pPr>
        <w:spacing w:line="283" w:lineRule="auto" w:after="80"/>
        <w:ind w:firstLine="397"/>
        <w:jc w:val="both"/>
        <w:bidi/>
      </w:pPr>
      <w:r>
        <w:t>هل تكشف القراءات روابط داخلية لم تُدرس بما يكفي؟</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pPr>
        <w:pStyle w:val="Heading2"/>
        <w:spacing w:line="283" w:lineRule="auto" w:after="120"/>
        <w:jc w:val="right"/>
        <w:keepNext/>
        <w:bidi/>
      </w:pPr>
      <w:r>
        <w:t>الذكاء الاصطناعي</w:t>
      </w:r>
    </w:p>
    <w:p>
      <w:pPr>
        <w:spacing w:line="283" w:lineRule="auto" w:after="80"/>
        <w:ind w:firstLine="397"/>
        <w:jc w:val="both"/>
        <w:bidi/>
      </w:pPr>
      <w:r>
        <w:t>ما حدود اقتراح التوجيهات الآلية وقياس تحيزها؟</w:t>
      </w:r>
    </w:p>
    <w:p>
      <w:pPr>
        <w:spacing w:line="283" w:lineRule="auto" w:after="80"/>
        <w:ind w:firstLine="397"/>
        <w:jc w:val="both"/>
        <w:bidi/>
      </w:pPr>
      <w:r>
        <w:t>يحتاج هذا السؤال إلى عينة موثقة وفرضيات متنافسة ومراجعة بين تخصصات القراءات والتفسير واللغة والتاريخ، ولا يكفي فيه التأمل النظري أو الإحصاء المجرد.</w:t>
      </w:r>
    </w:p>
    <w:p>
      <w:pPr>
        <w:spacing w:line="283" w:lineRule="auto" w:after="80"/>
        <w:ind w:firstLine="397"/>
        <w:jc w:val="both"/>
        <w:bidi/>
      </w:pPr>
      <w:r>
        <w:t>يُعد المخرج ناجحاً إذا أنتج معياراً أو مدونةً أو تصحيحاً قابلاً لإعادة الاستخدام في المنصة والموسوعة، مع إعلان ما بقي غير محسوم.</w:t>
      </w:r>
    </w:p>
    <w:p>
      <w:r>
        <w:br w:type="page"/>
      </w:r>
    </w:p>
    <w:p>
      <w:pPr>
        <w:pStyle w:val="Heading1"/>
        <w:spacing w:line="283" w:lineRule="auto" w:after="120"/>
        <w:jc w:val="right"/>
        <w:keepNext/>
        <w:bidi/>
      </w:pPr>
      <w:r>
        <w:t>ميثاق المفسر في التعامل مع القراءات</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العهد</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أحفظ وحدة القرآن ولا أجعل تنوع الأداء تعدد كتب.</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أتحقق من القراءة قبل تفسيرها.</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أفصل القراءة من الرواية والطريق والوجه.</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لا أجعل الرسم منشئاً للقراءة.</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لا أجعل العربية مصححةً بلا نقل.</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لا أرد الثابت لمجرد مخالفة قياس مفضل.</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أجمع جميع القراءات ذات الصلة.</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لا أنتقي الموافق لمذهبي.</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أذكر إذا لم ينتج الاختلاف أثراً دلالياً.</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أفصل الثبوت من التوجيه.</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أرد التوجيه إلى سياق السورة.</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أختبر التكامل قبل التعارض.</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لا ألغي قراءة ثابتة بالترجيح التفسيري.</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أقيد القراءة غير المشهورة بوظيفتها.</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لا أبني عقيدة أو عقوبة على وجه محتمل منفرد.</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أعرض الأقوال المخالفة بإنصاف.</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أذكر حدود الدليل ودرجة الثقة.</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أقبل التوقف عند نقص المادة.</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أصحح حكمي إذا ظهر طريق أو توجيه أقوى.</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أجعل القرآن ومنطق البيان والميزان والقسط حاكماً على اختياري.</w:t>
            </w:r>
          </w:p>
        </w:tc>
      </w:tr>
    </w:tbl>
    <w:p/>
    <w:p>
      <w:pPr>
        <w:spacing w:line="283" w:lineRule="auto" w:after="80"/>
        <w:ind w:firstLine="397"/>
        <w:jc w:val="both"/>
        <w:bidi/>
      </w:pPr>
      <w:r>
        <w:t>العهد 1: أحفظ وحدة القرآن ولا أجعل تنوع الأداء تعدد كتب.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2: أتحقق من القراءة قبل تفسيرها.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3: أفصل القراءة من الرواية والطريق والوجه.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4: لا أجعل الرسم منشئاً للقراءة.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5: لا أجعل العربية مصححةً بلا نقل.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6: لا أرد الثابت لمجرد مخالفة قياس مفضل.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7: أجمع جميع القراءات ذات الصلة.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8: لا أنتقي الموافق لمذهبي.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9: أذكر إذا لم ينتج الاختلاف أثراً دلالياً.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10: أفصل الثبوت من التوجيه.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11: أرد التوجيه إلى سياق السورة.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12: أختبر التكامل قبل التعارض.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13: لا ألغي قراءة ثابتة بالترجيح التفسيري.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14: أقيد القراءة غير المشهورة بوظيفتها.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15: لا أبني عقيدة أو عقوبة على وجه محتمل منفرد.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16: أعرض الأقوال المخالفة بإنصاف.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17: أذكر حدود الدليل ودرجة الثقة.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18: أقبل التوقف عند نقص المادة.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19: أصحح حكمي إذا ظهر طريق أو توجيه أقوى. ويظهر الالتزام به في المدونة ولغة النتيجة وسجل الاستبعاد والمراجعة، لا في المقدمة النظرية وحدها.</w:t>
      </w:r>
    </w:p>
    <w:p>
      <w:pPr>
        <w:spacing w:line="283" w:lineRule="auto" w:after="80"/>
        <w:ind w:firstLine="397"/>
        <w:jc w:val="both"/>
        <w:bidi/>
      </w:pPr>
      <w:r>
        <w:t>العهد 20: أجعل القرآن ومنطق البيان والميزان والقسط حاكماً على اختياري. ويظهر الالتزام به في المدونة ولغة النتيجة وسجل الاستبعاد والمراجعة، لا في المقدمة النظرية وحدها.</w:t>
      </w:r>
    </w:p>
    <w:p>
      <w:r>
        <w:br w:type="page"/>
      </w:r>
    </w:p>
    <w:p>
      <w:pPr>
        <w:pStyle w:val="Heading1"/>
        <w:spacing w:line="283" w:lineRule="auto" w:after="120"/>
        <w:jc w:val="right"/>
        <w:keepNext/>
        <w:bidi/>
      </w:pPr>
      <w:r>
        <w:t>الملحق النقدي الأول: التواتر والاستفاضة والآحاد في القراءات</w:t>
      </w:r>
    </w:p>
    <w:p>
      <w:pPr>
        <w:spacing w:line="283" w:lineRule="auto" w:after="80"/>
        <w:ind w:firstLine="397"/>
        <w:jc w:val="both"/>
        <w:bidi/>
      </w:pPr>
      <w:r>
        <w:t>يعد الحكم على مرتبة نقل القراءة من أكثر أبواب هذا العلم حساسية؛ لأن مصطلحات التواتر والاستفاضة والشهرة والآحاد استعملت في سياقات أصولية وحديثية وقرائية مختلفة. ولذلك لا يكفي نقل وصف متأخر مثل «متواترة» من غير بيان وحدة الحكم: هل المقصود أصل القراءة عن الإمام، أم كل طريق ورواية ووجه، أم تلقي الأمة العملي، أم مجموع القراءات السبع أو العشر؟</w:t>
      </w:r>
    </w:p>
    <w:p>
      <w:pPr>
        <w:spacing w:line="283" w:lineRule="auto" w:after="80"/>
        <w:ind w:firstLine="397"/>
        <w:jc w:val="both"/>
        <w:bidi/>
      </w:pPr>
      <w:r>
        <w:t>يُفصل في المنهج البياني بين ثلاثة أسئلة: هل ثبت أن هذا الأداء قُرئ به في طبقة مبكرة؟ وهل ثبتت نسبته إلى القارئ المعين؟ وهل بلغ من التلقي ما يجيز وصفه بالقرآنية المتعبد بها؟ وقد تتفاوت الإجابات؛ فلا يلزم من صحة طريق متأخر إلى إمام إثبات جميع مراحل النقل السابقة، كما لا يلزم من شهرة الأداء في الأمصار إثبات كل تفصيل من تفاصيل طرقه.</w:t>
      </w:r>
    </w:p>
    <w:p>
      <w:pPr>
        <w:spacing w:line="283" w:lineRule="auto" w:after="80"/>
        <w:ind w:firstLine="397"/>
        <w:jc w:val="both"/>
        <w:bidi/>
      </w:pPr>
      <w:r>
        <w:t>لا يرفض الكتاب مصطلح التواتر، لكنه يطالب بتحريره بحيث يكون قابلاً للفحص. فإذا كان المقصود كثرةً مستقلةً تمنع التواطؤ والخطأ، وجب تحليل استقلال الطرق وعدم رجوعها إلى أصول محدودة. وإذا كان المقصود التلقي العام، وجب بيان شواهد هذا التلقي ومداه الزمني والجغرافي. وإذا كان الحكم مؤسسياً مدرسياً، وُصف كذلك ولم يُنقل إلى التاريخ الأول بلا قرينة.</w:t>
      </w:r>
    </w:p>
    <w:p>
      <w:pPr>
        <w:spacing w:line="283" w:lineRule="auto" w:after="80"/>
        <w:ind w:firstLine="397"/>
        <w:jc w:val="both"/>
        <w:bidi/>
      </w:pPr>
      <w:r>
        <w:t>تدخل الاستفاضة والشهرة بوصفهما درجتين وصفيتين قد تفيدان في الترجيح التاريخي، لكنهما لا تعملان وحدهما على تصحيح قراءة أو إبطالها. وقد تكون قراءة قليلة الطرق محفوظةً بطريق قوي، وقد تكون قراءة واسعة الانتشار في مرحلة متأخرة دون أن تكشف وحدها أصلها المبكر. ولذلك يجب أن تكون لغة الحكم متعددة الأبعاد.</w:t>
      </w:r>
    </w:p>
    <w:p>
      <w:pPr>
        <w:spacing w:line="283" w:lineRule="auto" w:after="80"/>
        <w:ind w:firstLine="397"/>
        <w:jc w:val="both"/>
        <w:bidi/>
      </w:pPr>
      <w:r>
        <w:t>أما القراءات المنقولة بطريق فرد أو القليلة الانتشار فتحتاج إلى فصل قيمتها في التلاوة من قيمتها في التفسير. فقد يكون الأثر غير كافٍ لإثبات القراءة القرآنية، لكنه يكشف توجيهاً لغوياً مبكراً أو فهماً تفسيرياً أو صورةً من تاريخ النص. ويُحفظ هذا الأثر في مدونته ولا يُدمج بالقراءة المعتمدة.</w:t>
      </w:r>
    </w:p>
    <w:p>
      <w:pPr>
        <w:spacing w:line="283" w:lineRule="auto" w:after="80"/>
        <w:ind w:firstLine="397"/>
        <w:jc w:val="both"/>
        <w:bidi/>
      </w:pPr>
      <w:r>
        <w:t>ينتهي هذا الملحق إلى أن مرتبة النقل ليست رقماً واحداً، بل ملف يضم الزمن والاستقلال والتلقي والنسبة والرسم والعربية والمصادر. ويجب أن يذكر الباحث المصطلح الذي يستعمله وتعريفه، وأن يقبل التوقف إذا لم تسمح المادة التاريخية بالقطع.</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7"/>
              </w:rPr>
              <w:t>المرتبة التشغيلية</w:t>
            </w:r>
          </w:p>
        </w:tc>
        <w:tc>
          <w:tcPr>
            <w:tcW w:type="dxa" w:w="2635"/>
            <w:vAlign w:val="center"/>
          </w:tcPr>
          <w:p>
            <w:pPr>
              <w:spacing w:line="283" w:lineRule="auto" w:after="0"/>
              <w:jc w:val="center"/>
              <w:bidi/>
            </w:pPr>
            <w:r>
              <w:rPr>
                <w:b/>
                <w:sz w:val="17"/>
              </w:rPr>
              <w:t>الوصف</w:t>
            </w:r>
          </w:p>
        </w:tc>
        <w:tc>
          <w:tcPr>
            <w:tcW w:type="dxa" w:w="2635"/>
            <w:vAlign w:val="center"/>
          </w:tcPr>
          <w:p>
            <w:pPr>
              <w:spacing w:line="283" w:lineRule="auto" w:after="0"/>
              <w:jc w:val="center"/>
              <w:bidi/>
            </w:pPr>
            <w:r>
              <w:rPr>
                <w:b/>
                <w:sz w:val="17"/>
              </w:rPr>
              <w:t>الأثر</w:t>
            </w:r>
          </w:p>
        </w:tc>
      </w:tr>
      <w:tr>
        <w:tc>
          <w:tcPr>
            <w:tcW w:type="dxa" w:w="2635"/>
            <w:vAlign w:val="center"/>
          </w:tcPr>
          <w:p>
            <w:pPr>
              <w:spacing w:line="283" w:lineRule="auto" w:after="0"/>
              <w:jc w:val="right"/>
              <w:bidi/>
            </w:pPr>
            <w:r>
              <w:rPr>
                <w:sz w:val="17"/>
              </w:rPr>
              <w:t>متلقى عام</w:t>
            </w:r>
          </w:p>
        </w:tc>
        <w:tc>
          <w:tcPr>
            <w:tcW w:type="dxa" w:w="2635"/>
            <w:vAlign w:val="center"/>
          </w:tcPr>
          <w:p>
            <w:pPr>
              <w:spacing w:line="283" w:lineRule="auto" w:after="0"/>
              <w:jc w:val="right"/>
              <w:bidi/>
            </w:pPr>
            <w:r>
              <w:rPr>
                <w:sz w:val="17"/>
              </w:rPr>
              <w:t>انتشار أداء في طبقات وأمصار مع شواهد مستقلة</w:t>
            </w:r>
          </w:p>
        </w:tc>
        <w:tc>
          <w:tcPr>
            <w:tcW w:type="dxa" w:w="2635"/>
            <w:vAlign w:val="center"/>
          </w:tcPr>
          <w:p>
            <w:pPr>
              <w:spacing w:line="283" w:lineRule="auto" w:after="0"/>
              <w:jc w:val="right"/>
              <w:bidi/>
            </w:pPr>
            <w:r>
              <w:rPr>
                <w:sz w:val="17"/>
              </w:rPr>
              <w:t>أعلى قيمة في إثبات التلقي مع بقاء فحص التفاصيل</w:t>
            </w:r>
          </w:p>
        </w:tc>
      </w:tr>
      <w:tr>
        <w:tc>
          <w:tcPr>
            <w:tcW w:type="dxa" w:w="2635"/>
            <w:vAlign w:val="center"/>
          </w:tcPr>
          <w:p>
            <w:pPr>
              <w:spacing w:line="283" w:lineRule="auto" w:after="0"/>
              <w:jc w:val="right"/>
              <w:bidi/>
            </w:pPr>
            <w:r>
              <w:rPr>
                <w:sz w:val="17"/>
              </w:rPr>
              <w:t>مستفيض</w:t>
            </w:r>
          </w:p>
        </w:tc>
        <w:tc>
          <w:tcPr>
            <w:tcW w:type="dxa" w:w="2635"/>
            <w:vAlign w:val="center"/>
          </w:tcPr>
          <w:p>
            <w:pPr>
              <w:spacing w:line="283" w:lineRule="auto" w:after="0"/>
              <w:jc w:val="right"/>
              <w:bidi/>
            </w:pPr>
            <w:r>
              <w:rPr>
                <w:sz w:val="17"/>
              </w:rPr>
              <w:t>طرق أو تداول متعدد دون استيفاء تعريف التواتر المعلن</w:t>
            </w:r>
          </w:p>
        </w:tc>
        <w:tc>
          <w:tcPr>
            <w:tcW w:type="dxa" w:w="2635"/>
            <w:vAlign w:val="center"/>
          </w:tcPr>
          <w:p>
            <w:pPr>
              <w:spacing w:line="283" w:lineRule="auto" w:after="0"/>
              <w:jc w:val="right"/>
              <w:bidi/>
            </w:pPr>
            <w:r>
              <w:rPr>
                <w:sz w:val="17"/>
              </w:rPr>
              <w:t>قرينة قوية لا تستغني عن تحليل الاستقلال</w:t>
            </w:r>
          </w:p>
        </w:tc>
      </w:tr>
      <w:tr>
        <w:tc>
          <w:tcPr>
            <w:tcW w:type="dxa" w:w="2635"/>
            <w:vAlign w:val="center"/>
          </w:tcPr>
          <w:p>
            <w:pPr>
              <w:spacing w:line="283" w:lineRule="auto" w:after="0"/>
              <w:jc w:val="right"/>
              <w:bidi/>
            </w:pPr>
            <w:r>
              <w:rPr>
                <w:sz w:val="17"/>
              </w:rPr>
              <w:t>مشهور</w:t>
            </w:r>
          </w:p>
        </w:tc>
        <w:tc>
          <w:tcPr>
            <w:tcW w:type="dxa" w:w="2635"/>
            <w:vAlign w:val="center"/>
          </w:tcPr>
          <w:p>
            <w:pPr>
              <w:spacing w:line="283" w:lineRule="auto" w:after="0"/>
              <w:jc w:val="right"/>
              <w:bidi/>
            </w:pPr>
            <w:r>
              <w:rPr>
                <w:sz w:val="17"/>
              </w:rPr>
              <w:t>شيوع في المدرسة أو المصادر أو الأمصار</w:t>
            </w:r>
          </w:p>
        </w:tc>
        <w:tc>
          <w:tcPr>
            <w:tcW w:type="dxa" w:w="2635"/>
            <w:vAlign w:val="center"/>
          </w:tcPr>
          <w:p>
            <w:pPr>
              <w:spacing w:line="283" w:lineRule="auto" w:after="0"/>
              <w:jc w:val="right"/>
              <w:bidi/>
            </w:pPr>
            <w:r>
              <w:rPr>
                <w:sz w:val="17"/>
              </w:rPr>
              <w:t>وصف تاريخي يحتاج إلى تحديد الزمن</w:t>
            </w:r>
          </w:p>
        </w:tc>
      </w:tr>
      <w:tr>
        <w:tc>
          <w:tcPr>
            <w:tcW w:type="dxa" w:w="2635"/>
            <w:vAlign w:val="center"/>
          </w:tcPr>
          <w:p>
            <w:pPr>
              <w:spacing w:line="283" w:lineRule="auto" w:after="0"/>
              <w:jc w:val="right"/>
              <w:bidi/>
            </w:pPr>
            <w:r>
              <w:rPr>
                <w:sz w:val="17"/>
              </w:rPr>
              <w:t>صحيح الطريق</w:t>
            </w:r>
          </w:p>
        </w:tc>
        <w:tc>
          <w:tcPr>
            <w:tcW w:type="dxa" w:w="2635"/>
            <w:vAlign w:val="center"/>
          </w:tcPr>
          <w:p>
            <w:pPr>
              <w:spacing w:line="283" w:lineRule="auto" w:after="0"/>
              <w:jc w:val="right"/>
              <w:bidi/>
            </w:pPr>
            <w:r>
              <w:rPr>
                <w:sz w:val="17"/>
              </w:rPr>
              <w:t>طريق معتبر إلى ناقل أو قارئ</w:t>
            </w:r>
          </w:p>
        </w:tc>
        <w:tc>
          <w:tcPr>
            <w:tcW w:type="dxa" w:w="2635"/>
            <w:vAlign w:val="center"/>
          </w:tcPr>
          <w:p>
            <w:pPr>
              <w:spacing w:line="283" w:lineRule="auto" w:after="0"/>
              <w:jc w:val="right"/>
              <w:bidi/>
            </w:pPr>
            <w:r>
              <w:rPr>
                <w:sz w:val="17"/>
              </w:rPr>
              <w:t>يثبت نسبة الطريق ولا يثبت وحده التلقي العام</w:t>
            </w:r>
          </w:p>
        </w:tc>
      </w:tr>
      <w:tr>
        <w:tc>
          <w:tcPr>
            <w:tcW w:type="dxa" w:w="2635"/>
            <w:vAlign w:val="center"/>
          </w:tcPr>
          <w:p>
            <w:pPr>
              <w:spacing w:line="283" w:lineRule="auto" w:after="0"/>
              <w:jc w:val="right"/>
              <w:bidi/>
            </w:pPr>
            <w:r>
              <w:rPr>
                <w:sz w:val="17"/>
              </w:rPr>
              <w:t>فرد أو قليل الطرق</w:t>
            </w:r>
          </w:p>
        </w:tc>
        <w:tc>
          <w:tcPr>
            <w:tcW w:type="dxa" w:w="2635"/>
            <w:vAlign w:val="center"/>
          </w:tcPr>
          <w:p>
            <w:pPr>
              <w:spacing w:line="283" w:lineRule="auto" w:after="0"/>
              <w:jc w:val="right"/>
              <w:bidi/>
            </w:pPr>
            <w:r>
              <w:rPr>
                <w:sz w:val="17"/>
              </w:rPr>
              <w:t>مادة محدودة النقل</w:t>
            </w:r>
          </w:p>
        </w:tc>
        <w:tc>
          <w:tcPr>
            <w:tcW w:type="dxa" w:w="2635"/>
            <w:vAlign w:val="center"/>
          </w:tcPr>
          <w:p>
            <w:pPr>
              <w:spacing w:line="283" w:lineRule="auto" w:after="0"/>
              <w:jc w:val="right"/>
              <w:bidi/>
            </w:pPr>
            <w:r>
              <w:rPr>
                <w:sz w:val="17"/>
              </w:rPr>
              <w:t>تُقوَّم بحسب الطريق والوظيفة</w:t>
            </w:r>
          </w:p>
        </w:tc>
      </w:tr>
      <w:tr>
        <w:tc>
          <w:tcPr>
            <w:tcW w:type="dxa" w:w="2635"/>
            <w:vAlign w:val="center"/>
          </w:tcPr>
          <w:p>
            <w:pPr>
              <w:spacing w:line="283" w:lineRule="auto" w:after="0"/>
              <w:jc w:val="right"/>
              <w:bidi/>
            </w:pPr>
            <w:r>
              <w:rPr>
                <w:sz w:val="17"/>
              </w:rPr>
              <w:t>غير ثابت</w:t>
            </w:r>
          </w:p>
        </w:tc>
        <w:tc>
          <w:tcPr>
            <w:tcW w:type="dxa" w:w="2635"/>
            <w:vAlign w:val="center"/>
          </w:tcPr>
          <w:p>
            <w:pPr>
              <w:spacing w:line="283" w:lineRule="auto" w:after="0"/>
              <w:jc w:val="right"/>
              <w:bidi/>
            </w:pPr>
            <w:r>
              <w:rPr>
                <w:sz w:val="17"/>
              </w:rPr>
              <w:t>لا تقوم قرائن كافية على النسبة</w:t>
            </w:r>
          </w:p>
        </w:tc>
        <w:tc>
          <w:tcPr>
            <w:tcW w:type="dxa" w:w="2635"/>
            <w:vAlign w:val="center"/>
          </w:tcPr>
          <w:p>
            <w:pPr>
              <w:spacing w:line="283" w:lineRule="auto" w:after="0"/>
              <w:jc w:val="right"/>
              <w:bidi/>
            </w:pPr>
            <w:r>
              <w:rPr>
                <w:sz w:val="17"/>
              </w:rPr>
              <w:t>لا يُنسب قرآناً، وقد يبقى شاهداً تاريخياً بحسب حاله</w:t>
            </w:r>
          </w:p>
        </w:tc>
      </w:tr>
    </w:tbl>
    <w:p/>
    <w:p>
      <w:pPr>
        <w:pStyle w:val="Heading2"/>
        <w:spacing w:line="283" w:lineRule="auto" w:after="120"/>
        <w:jc w:val="right"/>
        <w:keepNext/>
        <w:bidi/>
      </w:pPr>
      <w:r>
        <w:t>متلقى عام</w:t>
      </w:r>
    </w:p>
    <w:p>
      <w:pPr>
        <w:spacing w:line="283" w:lineRule="auto" w:after="80"/>
        <w:ind w:firstLine="397"/>
        <w:jc w:val="both"/>
        <w:bidi/>
      </w:pPr>
      <w:r>
        <w:t>انتشار أداء في طبقات وأمصار مع شواهد مستقلة</w:t>
      </w:r>
    </w:p>
    <w:p>
      <w:pPr>
        <w:spacing w:line="283" w:lineRule="auto" w:after="80"/>
        <w:ind w:firstLine="397"/>
        <w:jc w:val="both"/>
        <w:bidi/>
      </w:pPr>
      <w:r>
        <w:t>أعلى قيمة في إثبات التلقي مع بقاء فحص التفاصيل ويجب أن يُذكر نطاق هذا الحكم ومصادره، وألا يُنقل من أصل القراءة إلى كل وجه من وجوهها بلا تحليل مستقل.</w:t>
      </w:r>
    </w:p>
    <w:p>
      <w:pPr>
        <w:pStyle w:val="Heading2"/>
        <w:spacing w:line="283" w:lineRule="auto" w:after="120"/>
        <w:jc w:val="right"/>
        <w:keepNext/>
        <w:bidi/>
      </w:pPr>
      <w:r>
        <w:t>مستفيض</w:t>
      </w:r>
    </w:p>
    <w:p>
      <w:pPr>
        <w:spacing w:line="283" w:lineRule="auto" w:after="80"/>
        <w:ind w:firstLine="397"/>
        <w:jc w:val="both"/>
        <w:bidi/>
      </w:pPr>
      <w:r>
        <w:t>طرق أو تداول متعدد دون استيفاء تعريف التواتر المعلن</w:t>
      </w:r>
    </w:p>
    <w:p>
      <w:pPr>
        <w:spacing w:line="283" w:lineRule="auto" w:after="80"/>
        <w:ind w:firstLine="397"/>
        <w:jc w:val="both"/>
        <w:bidi/>
      </w:pPr>
      <w:r>
        <w:t>قرينة قوية لا تستغني عن تحليل الاستقلال ويجب أن يُذكر نطاق هذا الحكم ومصادره، وألا يُنقل من أصل القراءة إلى كل وجه من وجوهها بلا تحليل مستقل.</w:t>
      </w:r>
    </w:p>
    <w:p>
      <w:pPr>
        <w:pStyle w:val="Heading2"/>
        <w:spacing w:line="283" w:lineRule="auto" w:after="120"/>
        <w:jc w:val="right"/>
        <w:keepNext/>
        <w:bidi/>
      </w:pPr>
      <w:r>
        <w:t>مشهور</w:t>
      </w:r>
    </w:p>
    <w:p>
      <w:pPr>
        <w:spacing w:line="283" w:lineRule="auto" w:after="80"/>
        <w:ind w:firstLine="397"/>
        <w:jc w:val="both"/>
        <w:bidi/>
      </w:pPr>
      <w:r>
        <w:t>شيوع في المدرسة أو المصادر أو الأمصار</w:t>
      </w:r>
    </w:p>
    <w:p>
      <w:pPr>
        <w:spacing w:line="283" w:lineRule="auto" w:after="80"/>
        <w:ind w:firstLine="397"/>
        <w:jc w:val="both"/>
        <w:bidi/>
      </w:pPr>
      <w:r>
        <w:t>وصف تاريخي يحتاج إلى تحديد الزمن ويجب أن يُذكر نطاق هذا الحكم ومصادره، وألا يُنقل من أصل القراءة إلى كل وجه من وجوهها بلا تحليل مستقل.</w:t>
      </w:r>
    </w:p>
    <w:p>
      <w:pPr>
        <w:pStyle w:val="Heading2"/>
        <w:spacing w:line="283" w:lineRule="auto" w:after="120"/>
        <w:jc w:val="right"/>
        <w:keepNext/>
        <w:bidi/>
      </w:pPr>
      <w:r>
        <w:t>صحيح الطريق</w:t>
      </w:r>
    </w:p>
    <w:p>
      <w:pPr>
        <w:spacing w:line="283" w:lineRule="auto" w:after="80"/>
        <w:ind w:firstLine="397"/>
        <w:jc w:val="both"/>
        <w:bidi/>
      </w:pPr>
      <w:r>
        <w:t>طريق معتبر إلى ناقل أو قارئ</w:t>
      </w:r>
    </w:p>
    <w:p>
      <w:pPr>
        <w:spacing w:line="283" w:lineRule="auto" w:after="80"/>
        <w:ind w:firstLine="397"/>
        <w:jc w:val="both"/>
        <w:bidi/>
      </w:pPr>
      <w:r>
        <w:t>يثبت نسبة الطريق ولا يثبت وحده التلقي العام ويجب أن يُذكر نطاق هذا الحكم ومصادره، وألا يُنقل من أصل القراءة إلى كل وجه من وجوهها بلا تحليل مستقل.</w:t>
      </w:r>
    </w:p>
    <w:p>
      <w:pPr>
        <w:pStyle w:val="Heading2"/>
        <w:spacing w:line="283" w:lineRule="auto" w:after="120"/>
        <w:jc w:val="right"/>
        <w:keepNext/>
        <w:bidi/>
      </w:pPr>
      <w:r>
        <w:t>فرد أو قليل الطرق</w:t>
      </w:r>
    </w:p>
    <w:p>
      <w:pPr>
        <w:spacing w:line="283" w:lineRule="auto" w:after="80"/>
        <w:ind w:firstLine="397"/>
        <w:jc w:val="both"/>
        <w:bidi/>
      </w:pPr>
      <w:r>
        <w:t>مادة محدودة النقل</w:t>
      </w:r>
    </w:p>
    <w:p>
      <w:pPr>
        <w:spacing w:line="283" w:lineRule="auto" w:after="80"/>
        <w:ind w:firstLine="397"/>
        <w:jc w:val="both"/>
        <w:bidi/>
      </w:pPr>
      <w:r>
        <w:t>تُقوَّم بحسب الطريق والوظيفة ويجب أن يُذكر نطاق هذا الحكم ومصادره، وألا يُنقل من أصل القراءة إلى كل وجه من وجوهها بلا تحليل مستقل.</w:t>
      </w:r>
    </w:p>
    <w:p>
      <w:pPr>
        <w:pStyle w:val="Heading2"/>
        <w:spacing w:line="283" w:lineRule="auto" w:after="120"/>
        <w:jc w:val="right"/>
        <w:keepNext/>
        <w:bidi/>
      </w:pPr>
      <w:r>
        <w:t>غير ثابت</w:t>
      </w:r>
    </w:p>
    <w:p>
      <w:pPr>
        <w:spacing w:line="283" w:lineRule="auto" w:after="80"/>
        <w:ind w:firstLine="397"/>
        <w:jc w:val="both"/>
        <w:bidi/>
      </w:pPr>
      <w:r>
        <w:t>لا تقوم قرائن كافية على النسبة</w:t>
      </w:r>
    </w:p>
    <w:p>
      <w:pPr>
        <w:spacing w:line="283" w:lineRule="auto" w:after="80"/>
        <w:ind w:firstLine="397"/>
        <w:jc w:val="both"/>
        <w:bidi/>
      </w:pPr>
      <w:r>
        <w:t>لا يُنسب قرآناً، وقد يبقى شاهداً تاريخياً بحسب حاله ويجب أن يُذكر نطاق هذا الحكم ومصادره، وألا يُنقل من أصل القراءة إلى كل وجه من وجوهها بلا تحليل مستقل.</w:t>
      </w:r>
    </w:p>
    <w:p>
      <w:pPr>
        <w:pStyle w:val="Heading1"/>
        <w:spacing w:line="283" w:lineRule="auto" w:after="120"/>
        <w:jc w:val="right"/>
        <w:keepNext/>
        <w:bidi/>
      </w:pPr>
      <w:r>
        <w:t>الملحق النقدي الثاني: الوقف والابتداء وعلاقته بالقراءات</w:t>
      </w:r>
    </w:p>
    <w:p>
      <w:pPr>
        <w:spacing w:line="283" w:lineRule="auto" w:after="80"/>
        <w:ind w:firstLine="397"/>
        <w:jc w:val="both"/>
        <w:bidi/>
      </w:pPr>
      <w:r>
        <w:t>لا ينفصل الأداء القرائي عن الوقف والابتداء؛ إذ قد يتغير بناء الجملة وإحالتها حين يختار القارئ موضع الوقف. غير أن الوقف ليس دائماً قراءةً مستقلة، بل طبقة أداء وتفسير تحتاج إلى فصلها عن اختلاف اللفظ نفسه. وقد تتفاعل القراءة والوقف بحيث يقوى وجه نحوي في أحد الأداءات ويضعف في آخر.</w:t>
      </w:r>
    </w:p>
    <w:p>
      <w:pPr>
        <w:spacing w:line="283" w:lineRule="auto" w:after="80"/>
        <w:ind w:firstLine="397"/>
        <w:jc w:val="both"/>
        <w:bidi/>
      </w:pPr>
      <w:r>
        <w:t>ينبغي للمفسر أن يميز بين الوقف اللازم أو القوي الذي تفرضه بنية المعنى، وبين الوقف الجائز الذي يحتمل أكثر من ربط، وبين العلامات الاصطلاحية في المصاحف التي تمثل اجتهاداً مدرسياً لا جزءاً من النص المنزل. وتُفحص العلامة ولا تُعامل بوصفها حاكمةً قبل تحليل التركيب والسياق.</w:t>
      </w:r>
    </w:p>
    <w:p>
      <w:pPr>
        <w:spacing w:line="283" w:lineRule="auto" w:after="80"/>
        <w:ind w:firstLine="397"/>
        <w:jc w:val="both"/>
        <w:bidi/>
      </w:pPr>
      <w:r>
        <w:t>تظهر أهمية هذا الباب في آيات المحكم والمتشابه، والجمل الاعتراضية، والشرط والجزاء، وتعدد المقول، والقصص. وقد ينتج عن الوقف توجيه عقدي أو فقهي مختلف؛ لذلك لا يجوز أن تُبنى النتيجة على علامة وقف مطبوعة من غير معرفة أصلها وتوجيهها.</w:t>
      </w:r>
    </w:p>
    <w:p>
      <w:pPr>
        <w:spacing w:line="283" w:lineRule="auto" w:after="80"/>
        <w:ind w:firstLine="397"/>
        <w:jc w:val="both"/>
        <w:bidi/>
      </w:pPr>
      <w:r>
        <w:t>يجب أن تدخل بيانات الوقف في مدونة القراءات بوصفها كياناً مرتبطاً بالموضع والقارئ أو المدرسة والمصدر والتوجيه، لا بوصفها نصاً جديداً. ويُذكر هل الوقف منقول أداءً أم اجتهاد تفسيري، وهل يتوافق مع بقية القراءات أم يخص وجهاً معيناً.</w:t>
      </w:r>
    </w:p>
    <w:p>
      <w:pPr>
        <w:spacing w:line="283" w:lineRule="auto" w:after="80"/>
        <w:ind w:firstLine="397"/>
        <w:jc w:val="both"/>
        <w:bidi/>
      </w:pPr>
      <w:r>
        <w:t>تعمل قاعدة السياق هنا بقوة: الوقف الذي يقطع علاقةً ضروريةً أو يخلق دعوىً تناقض محكم السورة يضعف، ولو كان ممكناً من جهة التنفس أو الصناعة. والعكس، قد يكشف الوقف المدعوم بالبنية حدود جملة أو انتقالاً حجاجياً مهماً.</w:t>
      </w:r>
    </w:p>
    <w:p>
      <w:pPr>
        <w:spacing w:line="283" w:lineRule="auto" w:after="80"/>
        <w:ind w:firstLine="397"/>
        <w:jc w:val="both"/>
        <w:bidi/>
      </w:pPr>
      <w:r>
        <w:t>لا تكون غاية تحليل الوقف اختيار علامة واحدة نهائية لكل موضع، بل وصف الاحتمالات وترتيبها وبيان أثرها. وقد يبقى أكثر من وقف صحيح لأن البيان يحتمل أكثر من وجه متكامل.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سؤال الفحص</w:t>
            </w:r>
          </w:p>
        </w:tc>
      </w:tr>
      <w:tr>
        <w:tc>
          <w:tcPr>
            <w:tcW w:type="dxa" w:w="3952"/>
            <w:vAlign w:val="center"/>
          </w:tcPr>
          <w:p>
            <w:pPr>
              <w:spacing w:line="283" w:lineRule="auto" w:after="0"/>
              <w:jc w:val="right"/>
              <w:bidi/>
            </w:pPr>
            <w:r>
              <w:rPr>
                <w:sz w:val="18"/>
              </w:rPr>
              <w:t>نوع الوقف</w:t>
            </w:r>
          </w:p>
        </w:tc>
        <w:tc>
          <w:tcPr>
            <w:tcW w:type="dxa" w:w="3952"/>
            <w:vAlign w:val="center"/>
          </w:tcPr>
          <w:p>
            <w:pPr>
              <w:spacing w:line="283" w:lineRule="auto" w:after="0"/>
              <w:jc w:val="right"/>
              <w:bidi/>
            </w:pPr>
            <w:r>
              <w:rPr>
                <w:sz w:val="18"/>
              </w:rPr>
              <w:t>منقول أم اجتهادي؟</w:t>
            </w:r>
          </w:p>
        </w:tc>
      </w:tr>
      <w:tr>
        <w:tc>
          <w:tcPr>
            <w:tcW w:type="dxa" w:w="3952"/>
            <w:vAlign w:val="center"/>
          </w:tcPr>
          <w:p>
            <w:pPr>
              <w:spacing w:line="283" w:lineRule="auto" w:after="0"/>
              <w:jc w:val="right"/>
              <w:bidi/>
            </w:pPr>
            <w:r>
              <w:rPr>
                <w:sz w:val="18"/>
              </w:rPr>
              <w:t>علاقته بالقراءة</w:t>
            </w:r>
          </w:p>
        </w:tc>
        <w:tc>
          <w:tcPr>
            <w:tcW w:type="dxa" w:w="3952"/>
            <w:vAlign w:val="center"/>
          </w:tcPr>
          <w:p>
            <w:pPr>
              <w:spacing w:line="283" w:lineRule="auto" w:after="0"/>
              <w:jc w:val="right"/>
              <w:bidi/>
            </w:pPr>
            <w:r>
              <w:rPr>
                <w:sz w:val="18"/>
              </w:rPr>
              <w:t>هل يختص بوجه؟</w:t>
            </w:r>
          </w:p>
        </w:tc>
      </w:tr>
      <w:tr>
        <w:tc>
          <w:tcPr>
            <w:tcW w:type="dxa" w:w="3952"/>
            <w:vAlign w:val="center"/>
          </w:tcPr>
          <w:p>
            <w:pPr>
              <w:spacing w:line="283" w:lineRule="auto" w:after="0"/>
              <w:jc w:val="right"/>
              <w:bidi/>
            </w:pPr>
            <w:r>
              <w:rPr>
                <w:sz w:val="18"/>
              </w:rPr>
              <w:t>البنية</w:t>
            </w:r>
          </w:p>
        </w:tc>
        <w:tc>
          <w:tcPr>
            <w:tcW w:type="dxa" w:w="3952"/>
            <w:vAlign w:val="center"/>
          </w:tcPr>
          <w:p>
            <w:pPr>
              <w:spacing w:line="283" w:lineRule="auto" w:after="0"/>
              <w:jc w:val="right"/>
              <w:bidi/>
            </w:pPr>
            <w:r>
              <w:rPr>
                <w:sz w:val="18"/>
              </w:rPr>
              <w:t>ما أثره في العامل والإحالة؟</w:t>
            </w:r>
          </w:p>
        </w:tc>
      </w:tr>
      <w:t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هل يحفظ المقطع والسورة؟</w:t>
            </w:r>
          </w:p>
        </w:tc>
      </w:tr>
      <w:tr>
        <w:tc>
          <w:tcPr>
            <w:tcW w:type="dxa" w:w="3952"/>
            <w:vAlign w:val="center"/>
          </w:tcPr>
          <w:p>
            <w:pPr>
              <w:spacing w:line="283" w:lineRule="auto" w:after="0"/>
              <w:jc w:val="right"/>
              <w:bidi/>
            </w:pPr>
            <w:r>
              <w:rPr>
                <w:sz w:val="18"/>
              </w:rPr>
              <w:t>الأثر</w:t>
            </w:r>
          </w:p>
        </w:tc>
        <w:tc>
          <w:tcPr>
            <w:tcW w:type="dxa" w:w="3952"/>
            <w:vAlign w:val="center"/>
          </w:tcPr>
          <w:p>
            <w:pPr>
              <w:spacing w:line="283" w:lineRule="auto" w:after="0"/>
              <w:jc w:val="right"/>
              <w:bidi/>
            </w:pPr>
            <w:r>
              <w:rPr>
                <w:sz w:val="18"/>
              </w:rPr>
              <w:t>هل يغير الدعوى أم زاوية الأداء؟</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محكم أو راجح أو جائز أو ضعيف أو متوقف فيه</w:t>
            </w:r>
          </w:p>
        </w:tc>
      </w:tr>
    </w:tbl>
    <w:p/>
    <w:p>
      <w:pPr>
        <w:pStyle w:val="Heading1"/>
        <w:spacing w:line="283" w:lineRule="auto" w:after="120"/>
        <w:jc w:val="right"/>
        <w:keepNext/>
        <w:bidi/>
      </w:pPr>
      <w:r>
        <w:t>الملحق النقدي الثالث: القراءات والترجمة والتفسير المقارن</w:t>
      </w:r>
    </w:p>
    <w:p>
      <w:pPr>
        <w:spacing w:line="283" w:lineRule="auto" w:after="80"/>
        <w:ind w:firstLine="397"/>
        <w:jc w:val="both"/>
        <w:bidi/>
      </w:pPr>
      <w:r>
        <w:t>تكشف الترجمة مشكلةً منهجيةً خاصة؛ فاللغة المترجم إليها قد لا تستطيع تمثيل قراءتين في عبارة واحدة، بينما يختار المترجم عادةً قراءةً أو توجيهاً دون أن يشعر القارئ بوجود البديل. ولذلك يجب أن تميز الترجمة العلمية بين النص الأساس في طبعتها وبين الهوامش التي تبين القراءات ذات الأثر الدلالي.</w:t>
      </w:r>
    </w:p>
    <w:p>
      <w:pPr>
        <w:spacing w:line="283" w:lineRule="auto" w:after="80"/>
        <w:ind w:firstLine="397"/>
        <w:jc w:val="both"/>
        <w:bidi/>
      </w:pPr>
      <w:r>
        <w:t>لا يلزم أن تُذكر كل قراءة في كل ترجمة؛ فالاختلافات الصوتية غير المؤثرة لا تضيف شيئاً للقارئ، بينما تحتاج القراءات التي تغير الفاعل أو العدد أو الفعل أو الدلالة المعجمية إلى تنبيه. ويُبنى معيار الإدراج على مقدار الأثر التفسيري لا على غرابة القراءة.</w:t>
      </w:r>
    </w:p>
    <w:p>
      <w:pPr>
        <w:spacing w:line="283" w:lineRule="auto" w:after="80"/>
        <w:ind w:firstLine="397"/>
        <w:jc w:val="both"/>
        <w:bidi/>
      </w:pPr>
      <w:r>
        <w:t>ينبغي ألا تجمع الترجمة معنيين متغايرين في عبارة هجينة لا توجد في أي قراءة؛ لأن ذلك يصنع نصاً ثالثاً. الأفضل ترجمة الوجه المعتمد في المتن وذكر الوجه الآخر في الهامش، أو استعمال صياغة تستطيع حفظ المشترك إذا كانت اللغة تسمح بذلك بصدق.</w:t>
      </w:r>
    </w:p>
    <w:p>
      <w:pPr>
        <w:spacing w:line="283" w:lineRule="auto" w:after="80"/>
        <w:ind w:firstLine="397"/>
        <w:jc w:val="both"/>
        <w:bidi/>
      </w:pPr>
      <w:r>
        <w:t>يفيد التفسير المقارن في كشف كيف تعامل المفسرون مع القراءة: بعضهم يجمع المعاني، وبعضهم يرجح نحواً، وبعضهم يوظفها فقهياً أو كلامياً. ولا تُعامل هذه الاستعمالات بوصفها دلالة القراءة نفسها، بل بوصفها تاريخاً لتلقيها. ويجب أن يميز الباحث بين «ما قالت القراءة» و«ما صنعه المفسر بها».</w:t>
      </w:r>
    </w:p>
    <w:p>
      <w:pPr>
        <w:spacing w:line="283" w:lineRule="auto" w:after="80"/>
        <w:ind w:firstLine="397"/>
        <w:jc w:val="both"/>
        <w:bidi/>
      </w:pPr>
      <w:r>
        <w:t>في الدراسات الأكاديمية بلغات أخرى يجب نقل المصطلحات بعناية؛ فـreading وvariant وrecitation وtransmission ليست مترادفات تامة. ويُفضل الاحتفاظ بالمصطلح العربي عند الحاجة مع تعريف تشغيلي، حتى لا تتحول الترجمة إلى نظرية مسبقة عن تعدد النص.</w:t>
      </w:r>
    </w:p>
    <w:p>
      <w:pPr>
        <w:spacing w:line="283" w:lineRule="auto" w:after="80"/>
        <w:ind w:firstLine="397"/>
        <w:jc w:val="both"/>
        <w:bidi/>
      </w:pPr>
      <w:r>
        <w:t>يُقترح أن تدعم المنصة الحاسوبية طبقةً للترجمات مرتبطةً بكل قراءة ذات أثر، بحيث يستطيع القارئ رؤية كيف تتغير الترجمة وما الذي تغير في الأصل. وهذا يحول الترجمة من إخفاء الاختلاف إلى أداة تعليمية مفسرة.</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7"/>
              </w:rPr>
              <w:t>المصطلح</w:t>
            </w:r>
          </w:p>
        </w:tc>
        <w:tc>
          <w:tcPr>
            <w:tcW w:type="dxa" w:w="2635"/>
            <w:vAlign w:val="center"/>
          </w:tcPr>
          <w:p>
            <w:pPr>
              <w:spacing w:line="283" w:lineRule="auto" w:after="0"/>
              <w:jc w:val="center"/>
              <w:bidi/>
            </w:pPr>
            <w:r>
              <w:rPr>
                <w:b/>
                <w:sz w:val="17"/>
              </w:rPr>
              <w:t>المقابل المقترح</w:t>
            </w:r>
          </w:p>
        </w:tc>
        <w:tc>
          <w:tcPr>
            <w:tcW w:type="dxa" w:w="2635"/>
            <w:vAlign w:val="center"/>
          </w:tcPr>
          <w:p>
            <w:pPr>
              <w:spacing w:line="283" w:lineRule="auto" w:after="0"/>
              <w:jc w:val="center"/>
              <w:bidi/>
            </w:pPr>
            <w:r>
              <w:rPr>
                <w:b/>
                <w:sz w:val="17"/>
              </w:rPr>
              <w:t>القيد</w:t>
            </w:r>
          </w:p>
        </w:tc>
      </w:tr>
      <w:tr>
        <w:tc>
          <w:tcPr>
            <w:tcW w:type="dxa" w:w="2635"/>
            <w:vAlign w:val="center"/>
          </w:tcPr>
          <w:p>
            <w:pPr>
              <w:spacing w:line="283" w:lineRule="auto" w:after="0"/>
              <w:jc w:val="right"/>
              <w:bidi/>
            </w:pPr>
            <w:r>
              <w:rPr>
                <w:sz w:val="17"/>
              </w:rPr>
              <w:t>قراءة</w:t>
            </w:r>
          </w:p>
        </w:tc>
        <w:tc>
          <w:tcPr>
            <w:tcW w:type="dxa" w:w="2635"/>
            <w:vAlign w:val="center"/>
          </w:tcPr>
          <w:p>
            <w:pPr>
              <w:spacing w:line="283" w:lineRule="auto" w:after="0"/>
              <w:jc w:val="right"/>
              <w:bidi/>
            </w:pPr>
            <w:r>
              <w:rPr>
                <w:sz w:val="17"/>
              </w:rPr>
              <w:t>Qurʾānic reading / qirāʾah</w:t>
            </w:r>
          </w:p>
        </w:tc>
        <w:tc>
          <w:tcPr>
            <w:tcW w:type="dxa" w:w="2635"/>
            <w:vAlign w:val="center"/>
          </w:tcPr>
          <w:p>
            <w:pPr>
              <w:spacing w:line="283" w:lineRule="auto" w:after="0"/>
              <w:jc w:val="right"/>
              <w:bidi/>
            </w:pPr>
            <w:r>
              <w:rPr>
                <w:sz w:val="17"/>
              </w:rPr>
              <w:t>يحدد أنها وجه أداء منقول لا مجرد variant نصي</w:t>
            </w:r>
          </w:p>
        </w:tc>
      </w:tr>
      <w:tr>
        <w:tc>
          <w:tcPr>
            <w:tcW w:type="dxa" w:w="2635"/>
            <w:vAlign w:val="center"/>
          </w:tcPr>
          <w:p>
            <w:pPr>
              <w:spacing w:line="283" w:lineRule="auto" w:after="0"/>
              <w:jc w:val="right"/>
              <w:bidi/>
            </w:pPr>
            <w:r>
              <w:rPr>
                <w:sz w:val="17"/>
              </w:rPr>
              <w:t>رواية</w:t>
            </w:r>
          </w:p>
        </w:tc>
        <w:tc>
          <w:tcPr>
            <w:tcW w:type="dxa" w:w="2635"/>
            <w:vAlign w:val="center"/>
          </w:tcPr>
          <w:p>
            <w:pPr>
              <w:spacing w:line="283" w:lineRule="auto" w:after="0"/>
              <w:jc w:val="right"/>
              <w:bidi/>
            </w:pPr>
            <w:r>
              <w:rPr>
                <w:sz w:val="17"/>
              </w:rPr>
              <w:t>transmission / riwāyah</w:t>
            </w:r>
          </w:p>
        </w:tc>
        <w:tc>
          <w:tcPr>
            <w:tcW w:type="dxa" w:w="2635"/>
            <w:vAlign w:val="center"/>
          </w:tcPr>
          <w:p>
            <w:pPr>
              <w:spacing w:line="283" w:lineRule="auto" w:after="0"/>
              <w:jc w:val="right"/>
              <w:bidi/>
            </w:pPr>
            <w:r>
              <w:rPr>
                <w:sz w:val="17"/>
              </w:rPr>
              <w:t>مسار عن القارئ، لا مرادف للقراءة</w:t>
            </w:r>
          </w:p>
        </w:tc>
      </w:tr>
      <w:tr>
        <w:tc>
          <w:tcPr>
            <w:tcW w:type="dxa" w:w="2635"/>
            <w:vAlign w:val="center"/>
          </w:tcPr>
          <w:p>
            <w:pPr>
              <w:spacing w:line="283" w:lineRule="auto" w:after="0"/>
              <w:jc w:val="right"/>
              <w:bidi/>
            </w:pPr>
            <w:r>
              <w:rPr>
                <w:sz w:val="17"/>
              </w:rPr>
              <w:t>طريق</w:t>
            </w:r>
          </w:p>
        </w:tc>
        <w:tc>
          <w:tcPr>
            <w:tcW w:type="dxa" w:w="2635"/>
            <w:vAlign w:val="center"/>
          </w:tcPr>
          <w:p>
            <w:pPr>
              <w:spacing w:line="283" w:lineRule="auto" w:after="0"/>
              <w:jc w:val="right"/>
              <w:bidi/>
            </w:pPr>
            <w:r>
              <w:rPr>
                <w:sz w:val="17"/>
              </w:rPr>
              <w:t>transmission path</w:t>
            </w:r>
          </w:p>
        </w:tc>
        <w:tc>
          <w:tcPr>
            <w:tcW w:type="dxa" w:w="2635"/>
            <w:vAlign w:val="center"/>
          </w:tcPr>
          <w:p>
            <w:pPr>
              <w:spacing w:line="283" w:lineRule="auto" w:after="0"/>
              <w:jc w:val="right"/>
              <w:bidi/>
            </w:pPr>
            <w:r>
              <w:rPr>
                <w:sz w:val="17"/>
              </w:rPr>
              <w:t>فرع داخل الرواية</w:t>
            </w:r>
          </w:p>
        </w:tc>
      </w:tr>
      <w:tr>
        <w:tc>
          <w:tcPr>
            <w:tcW w:type="dxa" w:w="2635"/>
            <w:vAlign w:val="center"/>
          </w:tcPr>
          <w:p>
            <w:pPr>
              <w:spacing w:line="283" w:lineRule="auto" w:after="0"/>
              <w:jc w:val="right"/>
              <w:bidi/>
            </w:pPr>
            <w:r>
              <w:rPr>
                <w:sz w:val="17"/>
              </w:rPr>
              <w:t>وجه</w:t>
            </w:r>
          </w:p>
        </w:tc>
        <w:tc>
          <w:tcPr>
            <w:tcW w:type="dxa" w:w="2635"/>
            <w:vAlign w:val="center"/>
          </w:tcPr>
          <w:p>
            <w:pPr>
              <w:spacing w:line="283" w:lineRule="auto" w:after="0"/>
              <w:jc w:val="right"/>
              <w:bidi/>
            </w:pPr>
            <w:r>
              <w:rPr>
                <w:sz w:val="17"/>
              </w:rPr>
              <w:t>permitted performance form / wajh</w:t>
            </w:r>
          </w:p>
        </w:tc>
        <w:tc>
          <w:tcPr>
            <w:tcW w:type="dxa" w:w="2635"/>
            <w:vAlign w:val="center"/>
          </w:tcPr>
          <w:p>
            <w:pPr>
              <w:spacing w:line="283" w:lineRule="auto" w:after="0"/>
              <w:jc w:val="right"/>
              <w:bidi/>
            </w:pPr>
            <w:r>
              <w:rPr>
                <w:sz w:val="17"/>
              </w:rPr>
              <w:t>احتمال أداء داخل الطريق بحسب الفن</w:t>
            </w:r>
          </w:p>
        </w:tc>
      </w:tr>
      <w:tr>
        <w:tc>
          <w:tcPr>
            <w:tcW w:type="dxa" w:w="2635"/>
            <w:vAlign w:val="center"/>
          </w:tcPr>
          <w:p>
            <w:pPr>
              <w:spacing w:line="283" w:lineRule="auto" w:after="0"/>
              <w:jc w:val="right"/>
              <w:bidi/>
            </w:pPr>
            <w:r>
              <w:rPr>
                <w:sz w:val="17"/>
              </w:rPr>
              <w:t>رسم</w:t>
            </w:r>
          </w:p>
        </w:tc>
        <w:tc>
          <w:tcPr>
            <w:tcW w:type="dxa" w:w="2635"/>
            <w:vAlign w:val="center"/>
          </w:tcPr>
          <w:p>
            <w:pPr>
              <w:spacing w:line="283" w:lineRule="auto" w:after="0"/>
              <w:jc w:val="right"/>
              <w:bidi/>
            </w:pPr>
            <w:r>
              <w:rPr>
                <w:sz w:val="17"/>
              </w:rPr>
              <w:t>consonantal orthography / rasm</w:t>
            </w:r>
          </w:p>
        </w:tc>
        <w:tc>
          <w:tcPr>
            <w:tcW w:type="dxa" w:w="2635"/>
            <w:vAlign w:val="center"/>
          </w:tcPr>
          <w:p>
            <w:pPr>
              <w:spacing w:line="283" w:lineRule="auto" w:after="0"/>
              <w:jc w:val="right"/>
              <w:bidi/>
            </w:pPr>
            <w:r>
              <w:rPr>
                <w:sz w:val="17"/>
              </w:rPr>
              <w:t>البنية الكتابية للمصحف</w:t>
            </w:r>
          </w:p>
        </w:tc>
      </w:tr>
      <w:tr>
        <w:tc>
          <w:tcPr>
            <w:tcW w:type="dxa" w:w="2635"/>
            <w:vAlign w:val="center"/>
          </w:tcPr>
          <w:p>
            <w:pPr>
              <w:spacing w:line="283" w:lineRule="auto" w:after="0"/>
              <w:jc w:val="right"/>
              <w:bidi/>
            </w:pPr>
            <w:r>
              <w:rPr>
                <w:sz w:val="17"/>
              </w:rPr>
              <w:t>شاذ</w:t>
            </w:r>
          </w:p>
        </w:tc>
        <w:tc>
          <w:tcPr>
            <w:tcW w:type="dxa" w:w="2635"/>
            <w:vAlign w:val="center"/>
          </w:tcPr>
          <w:p>
            <w:pPr>
              <w:spacing w:line="283" w:lineRule="auto" w:after="0"/>
              <w:jc w:val="right"/>
              <w:bidi/>
            </w:pPr>
            <w:r>
              <w:rPr>
                <w:sz w:val="17"/>
              </w:rPr>
              <w:t>non-canonical / irregular بحسب السياق</w:t>
            </w:r>
          </w:p>
        </w:tc>
        <w:tc>
          <w:tcPr>
            <w:tcW w:type="dxa" w:w="2635"/>
            <w:vAlign w:val="center"/>
          </w:tcPr>
          <w:p>
            <w:pPr>
              <w:spacing w:line="283" w:lineRule="auto" w:after="0"/>
              <w:jc w:val="right"/>
              <w:bidi/>
            </w:pPr>
            <w:r>
              <w:rPr>
                <w:sz w:val="17"/>
              </w:rPr>
              <w:t>لا يترجم تلقائياً false أو corrupt</w:t>
            </w:r>
          </w:p>
        </w:tc>
      </w:tr>
      <w:tr>
        <w:tc>
          <w:tcPr>
            <w:tcW w:type="dxa" w:w="2635"/>
            <w:vAlign w:val="center"/>
          </w:tcPr>
          <w:p>
            <w:pPr>
              <w:spacing w:line="283" w:lineRule="auto" w:after="0"/>
              <w:jc w:val="right"/>
              <w:bidi/>
            </w:pPr>
            <w:r>
              <w:rPr>
                <w:sz w:val="17"/>
              </w:rPr>
              <w:t>تواتر</w:t>
            </w:r>
          </w:p>
        </w:tc>
        <w:tc>
          <w:tcPr>
            <w:tcW w:type="dxa" w:w="2635"/>
            <w:vAlign w:val="center"/>
          </w:tcPr>
          <w:p>
            <w:pPr>
              <w:spacing w:line="283" w:lineRule="auto" w:after="0"/>
              <w:jc w:val="right"/>
              <w:bidi/>
            </w:pPr>
            <w:r>
              <w:rPr>
                <w:sz w:val="17"/>
              </w:rPr>
              <w:t>mass transmission / tawātur</w:t>
            </w:r>
          </w:p>
        </w:tc>
        <w:tc>
          <w:tcPr>
            <w:tcW w:type="dxa" w:w="2635"/>
            <w:vAlign w:val="center"/>
          </w:tcPr>
          <w:p>
            <w:pPr>
              <w:spacing w:line="283" w:lineRule="auto" w:after="0"/>
              <w:jc w:val="right"/>
              <w:bidi/>
            </w:pPr>
            <w:r>
              <w:rPr>
                <w:sz w:val="17"/>
              </w:rPr>
              <w:t>يحتاج إلى تعريف المعيار في الدراسة</w:t>
            </w:r>
          </w:p>
        </w:tc>
      </w:tr>
    </w:tbl>
    <w:p/>
    <w:p>
      <w:pPr>
        <w:pStyle w:val="Heading1"/>
        <w:spacing w:line="283" w:lineRule="auto" w:after="120"/>
        <w:jc w:val="right"/>
        <w:keepNext/>
        <w:bidi/>
      </w:pPr>
      <w:r>
        <w:t>معيار اعتماد التحليل القرائي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شرط الاعتماد</w:t>
            </w:r>
          </w:p>
        </w:tc>
      </w:tr>
      <w:tr>
        <w:tc>
          <w:tcPr>
            <w:tcW w:type="dxa" w:w="3952"/>
            <w:vAlign w:val="center"/>
          </w:tcPr>
          <w:p>
            <w:pPr>
              <w:spacing w:line="283" w:lineRule="auto" w:after="0"/>
              <w:jc w:val="right"/>
              <w:bidi/>
            </w:pPr>
            <w:r>
              <w:rPr>
                <w:sz w:val="18"/>
              </w:rPr>
              <w:t>اكتمال الموضع</w:t>
            </w:r>
          </w:p>
        </w:tc>
        <w:tc>
          <w:tcPr>
            <w:tcW w:type="dxa" w:w="3952"/>
            <w:vAlign w:val="center"/>
          </w:tcPr>
          <w:p>
            <w:pPr>
              <w:spacing w:line="283" w:lineRule="auto" w:after="0"/>
              <w:jc w:val="right"/>
              <w:bidi/>
            </w:pPr>
            <w:r>
              <w:rPr>
                <w:sz w:val="18"/>
              </w:rPr>
              <w:t>جُمعت القراءات والروايات والطرق ذات الصلة.</w:t>
            </w:r>
          </w:p>
        </w:tc>
      </w:tr>
      <w:tr>
        <w:tc>
          <w:tcPr>
            <w:tcW w:type="dxa" w:w="3952"/>
            <w:vAlign w:val="center"/>
          </w:tcPr>
          <w:p>
            <w:pPr>
              <w:spacing w:line="283" w:lineRule="auto" w:after="0"/>
              <w:jc w:val="right"/>
              <w:bidi/>
            </w:pPr>
            <w:r>
              <w:rPr>
                <w:sz w:val="18"/>
              </w:rPr>
              <w:t>ضبط الثبوت</w:t>
            </w:r>
          </w:p>
        </w:tc>
        <w:tc>
          <w:tcPr>
            <w:tcW w:type="dxa" w:w="3952"/>
            <w:vAlign w:val="center"/>
          </w:tcPr>
          <w:p>
            <w:pPr>
              <w:spacing w:line="283" w:lineRule="auto" w:after="0"/>
              <w:jc w:val="right"/>
              <w:bidi/>
            </w:pPr>
            <w:r>
              <w:rPr>
                <w:sz w:val="18"/>
              </w:rPr>
              <w:t>فُصل ما ثبت مما هو أثر أو توجيه.</w:t>
            </w:r>
          </w:p>
        </w:tc>
      </w:tr>
      <w:tr>
        <w:tc>
          <w:tcPr>
            <w:tcW w:type="dxa" w:w="3952"/>
            <w:vAlign w:val="center"/>
          </w:tcPr>
          <w:p>
            <w:pPr>
              <w:spacing w:line="283" w:lineRule="auto" w:after="0"/>
              <w:jc w:val="right"/>
              <w:bidi/>
            </w:pPr>
            <w:r>
              <w:rPr>
                <w:sz w:val="18"/>
              </w:rPr>
              <w:t>ضبط الرسم</w:t>
            </w:r>
          </w:p>
        </w:tc>
        <w:tc>
          <w:tcPr>
            <w:tcW w:type="dxa" w:w="3952"/>
            <w:vAlign w:val="center"/>
          </w:tcPr>
          <w:p>
            <w:pPr>
              <w:spacing w:line="283" w:lineRule="auto" w:after="0"/>
              <w:jc w:val="right"/>
              <w:bidi/>
            </w:pPr>
            <w:r>
              <w:rPr>
                <w:sz w:val="18"/>
              </w:rPr>
              <w:t>حُددت وظيفة الرسم بلا تضخيم.</w:t>
            </w:r>
          </w:p>
        </w:tc>
      </w:tr>
      <w:tr>
        <w:tc>
          <w:tcPr>
            <w:tcW w:type="dxa" w:w="3952"/>
            <w:vAlign w:val="center"/>
          </w:tcPr>
          <w:p>
            <w:pPr>
              <w:spacing w:line="283" w:lineRule="auto" w:after="0"/>
              <w:jc w:val="right"/>
              <w:bidi/>
            </w:pPr>
            <w:r>
              <w:rPr>
                <w:sz w:val="18"/>
              </w:rPr>
              <w:t>التحليل اللساني</w:t>
            </w:r>
          </w:p>
        </w:tc>
        <w:tc>
          <w:tcPr>
            <w:tcW w:type="dxa" w:w="3952"/>
            <w:vAlign w:val="center"/>
          </w:tcPr>
          <w:p>
            <w:pPr>
              <w:spacing w:line="283" w:lineRule="auto" w:after="0"/>
              <w:jc w:val="right"/>
              <w:bidi/>
            </w:pPr>
            <w:r>
              <w:rPr>
                <w:sz w:val="18"/>
              </w:rPr>
              <w:t>فُحص الصرف والنحو والمعجم والأداء.</w:t>
            </w:r>
          </w:p>
        </w:tc>
      </w:tr>
      <w:t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أُعيد كل وجه إلى المقطع والسورة.</w:t>
            </w:r>
          </w:p>
        </w:tc>
      </w:tr>
      <w:tr>
        <w:tc>
          <w:tcPr>
            <w:tcW w:type="dxa" w:w="3952"/>
            <w:vAlign w:val="center"/>
          </w:tcPr>
          <w:p>
            <w:pPr>
              <w:spacing w:line="283" w:lineRule="auto" w:after="0"/>
              <w:jc w:val="right"/>
              <w:bidi/>
            </w:pPr>
            <w:r>
              <w:rPr>
                <w:sz w:val="18"/>
              </w:rPr>
              <w:t>الأثر</w:t>
            </w:r>
          </w:p>
        </w:tc>
        <w:tc>
          <w:tcPr>
            <w:tcW w:type="dxa" w:w="3952"/>
            <w:vAlign w:val="center"/>
          </w:tcPr>
          <w:p>
            <w:pPr>
              <w:spacing w:line="283" w:lineRule="auto" w:after="0"/>
              <w:jc w:val="right"/>
              <w:bidi/>
            </w:pPr>
            <w:r>
              <w:rPr>
                <w:sz w:val="18"/>
              </w:rPr>
              <w:t>عُيّن هل يغير المعنى أو لا.</w:t>
            </w:r>
          </w:p>
        </w:tc>
      </w:tr>
      <w:tr>
        <w:tc>
          <w:tcPr>
            <w:tcW w:type="dxa" w:w="3952"/>
            <w:vAlign w:val="center"/>
          </w:tcPr>
          <w:p>
            <w:pPr>
              <w:spacing w:line="283" w:lineRule="auto" w:after="0"/>
              <w:jc w:val="right"/>
              <w:bidi/>
            </w:pPr>
            <w:r>
              <w:rPr>
                <w:sz w:val="18"/>
              </w:rPr>
              <w:t>التكامل</w:t>
            </w:r>
          </w:p>
        </w:tc>
        <w:tc>
          <w:tcPr>
            <w:tcW w:type="dxa" w:w="3952"/>
            <w:vAlign w:val="center"/>
          </w:tcPr>
          <w:p>
            <w:pPr>
              <w:spacing w:line="283" w:lineRule="auto" w:after="0"/>
              <w:jc w:val="right"/>
              <w:bidi/>
            </w:pPr>
            <w:r>
              <w:rPr>
                <w:sz w:val="18"/>
              </w:rPr>
              <w:t>اختُبر الجمع قبل التعارض.</w:t>
            </w:r>
          </w:p>
        </w:tc>
      </w:tr>
      <w:t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صيغ تفسير منافس.</w:t>
            </w:r>
          </w:p>
        </w:tc>
      </w:tr>
      <w:tr>
        <w:tc>
          <w:tcPr>
            <w:tcW w:type="dxa" w:w="3952"/>
            <w:vAlign w:val="center"/>
          </w:tcPr>
          <w:p>
            <w:pPr>
              <w:spacing w:line="283" w:lineRule="auto" w:after="0"/>
              <w:jc w:val="right"/>
              <w:bidi/>
            </w:pPr>
            <w:r>
              <w:rPr>
                <w:sz w:val="18"/>
              </w:rPr>
              <w:t>الحجية</w:t>
            </w:r>
          </w:p>
        </w:tc>
        <w:tc>
          <w:tcPr>
            <w:tcW w:type="dxa" w:w="3952"/>
            <w:vAlign w:val="center"/>
          </w:tcPr>
          <w:p>
            <w:pPr>
              <w:spacing w:line="283" w:lineRule="auto" w:after="0"/>
              <w:jc w:val="right"/>
              <w:bidi/>
            </w:pPr>
            <w:r>
              <w:rPr>
                <w:sz w:val="18"/>
              </w:rPr>
              <w:t>حُدد مجال الاستدلال وحدوده.</w:t>
            </w:r>
          </w:p>
        </w:tc>
      </w:tr>
      <w:tr>
        <w:tc>
          <w:tcPr>
            <w:tcW w:type="dxa" w:w="3952"/>
            <w:vAlign w:val="center"/>
          </w:tcPr>
          <w:p>
            <w:pPr>
              <w:spacing w:line="283" w:lineRule="auto" w:after="0"/>
              <w:jc w:val="right"/>
              <w:bidi/>
            </w:pPr>
            <w:r>
              <w:rPr>
                <w:sz w:val="18"/>
              </w:rPr>
              <w:t>المراجعة</w:t>
            </w:r>
          </w:p>
        </w:tc>
        <w:tc>
          <w:tcPr>
            <w:tcW w:type="dxa" w:w="3952"/>
            <w:vAlign w:val="center"/>
          </w:tcPr>
          <w:p>
            <w:pPr>
              <w:spacing w:line="283" w:lineRule="auto" w:after="0"/>
              <w:jc w:val="right"/>
              <w:bidi/>
            </w:pPr>
            <w:r>
              <w:rPr>
                <w:sz w:val="18"/>
              </w:rPr>
              <w:t>راجع باحث مستقل المادة والحكم.</w:t>
            </w:r>
          </w:p>
        </w:tc>
      </w:tr>
      <w:tr>
        <w:tc>
          <w:tcPr>
            <w:tcW w:type="dxa" w:w="3952"/>
            <w:vAlign w:val="center"/>
          </w:tcPr>
          <w:p>
            <w:pPr>
              <w:spacing w:line="283" w:lineRule="auto" w:after="0"/>
              <w:jc w:val="right"/>
              <w:bidi/>
            </w:pPr>
            <w:r>
              <w:rPr>
                <w:sz w:val="18"/>
              </w:rPr>
              <w:t>الإصدار</w:t>
            </w:r>
          </w:p>
        </w:tc>
        <w:tc>
          <w:tcPr>
            <w:tcW w:type="dxa" w:w="3952"/>
            <w:vAlign w:val="center"/>
          </w:tcPr>
          <w:p>
            <w:pPr>
              <w:spacing w:line="283" w:lineRule="auto" w:after="0"/>
              <w:jc w:val="right"/>
              <w:bidi/>
            </w:pPr>
            <w:r>
              <w:rPr>
                <w:sz w:val="18"/>
              </w:rPr>
              <w:t>حُفظت التغييرات والاعتراضات.</w:t>
            </w:r>
          </w:p>
        </w:tc>
      </w:tr>
      <w:tr>
        <w:tc>
          <w:tcPr>
            <w:tcW w:type="dxa" w:w="3952"/>
            <w:vAlign w:val="center"/>
          </w:tcPr>
          <w:p>
            <w:pPr>
              <w:spacing w:line="283" w:lineRule="auto" w:after="0"/>
              <w:jc w:val="right"/>
              <w:bidi/>
            </w:pPr>
            <w:r>
              <w:rPr>
                <w:sz w:val="18"/>
              </w:rPr>
              <w:t>الشفافية</w:t>
            </w:r>
          </w:p>
        </w:tc>
        <w:tc>
          <w:tcPr>
            <w:tcW w:type="dxa" w:w="3952"/>
            <w:vAlign w:val="center"/>
          </w:tcPr>
          <w:p>
            <w:pPr>
              <w:spacing w:line="283" w:lineRule="auto" w:after="0"/>
              <w:jc w:val="right"/>
              <w:bidi/>
            </w:pPr>
            <w:r>
              <w:rPr>
                <w:sz w:val="18"/>
              </w:rPr>
              <w:t>ذُكر ما لم يُفحص أو ما بقي مختلفاً فيه.</w:t>
            </w:r>
          </w:p>
        </w:tc>
      </w:tr>
    </w:tbl>
    <w:p/>
    <w:p>
      <w:pPr>
        <w:spacing w:line="283" w:lineRule="auto" w:after="80"/>
        <w:ind w:firstLine="397"/>
        <w:jc w:val="both"/>
        <w:bidi/>
      </w:pPr>
      <w:r>
        <w:t>اكتمال الموضع: جُمعت القراءات والروايات والطرق ذات الصلة. وإذا غاب هذا الشرط خُفضت درجة النتيجة أو توقف اعتمادها بحسب أثر النقص.</w:t>
      </w:r>
    </w:p>
    <w:p>
      <w:pPr>
        <w:spacing w:line="283" w:lineRule="auto" w:after="80"/>
        <w:ind w:firstLine="397"/>
        <w:jc w:val="both"/>
        <w:bidi/>
      </w:pPr>
      <w:r>
        <w:t>ضبط الثبوت: فُصل ما ثبت مما هو أثر أو توجيه. وإذا غاب هذا الشرط خُفضت درجة النتيجة أو توقف اعتمادها بحسب أثر النقص.</w:t>
      </w:r>
    </w:p>
    <w:p>
      <w:pPr>
        <w:spacing w:line="283" w:lineRule="auto" w:after="80"/>
        <w:ind w:firstLine="397"/>
        <w:jc w:val="both"/>
        <w:bidi/>
      </w:pPr>
      <w:r>
        <w:t>ضبط الرسم: حُددت وظيفة الرسم بلا تضخيم. وإذا غاب هذا الشرط خُفضت درجة النتيجة أو توقف اعتمادها بحسب أثر النقص.</w:t>
      </w:r>
    </w:p>
    <w:p>
      <w:pPr>
        <w:spacing w:line="283" w:lineRule="auto" w:after="80"/>
        <w:ind w:firstLine="397"/>
        <w:jc w:val="both"/>
        <w:bidi/>
      </w:pPr>
      <w:r>
        <w:t>التحليل اللساني: فُحص الصرف والنحو والمعجم والأداء. وإذا غاب هذا الشرط خُفضت درجة النتيجة أو توقف اعتمادها بحسب أثر النقص.</w:t>
      </w:r>
    </w:p>
    <w:p>
      <w:pPr>
        <w:spacing w:line="283" w:lineRule="auto" w:after="80"/>
        <w:ind w:firstLine="397"/>
        <w:jc w:val="both"/>
        <w:bidi/>
      </w:pPr>
      <w:r>
        <w:t>السياق: أُعيد كل وجه إلى المقطع والسورة. وإذا غاب هذا الشرط خُفضت درجة النتيجة أو توقف اعتمادها بحسب أثر النقص.</w:t>
      </w:r>
    </w:p>
    <w:p>
      <w:pPr>
        <w:spacing w:line="283" w:lineRule="auto" w:after="80"/>
        <w:ind w:firstLine="397"/>
        <w:jc w:val="both"/>
        <w:bidi/>
      </w:pPr>
      <w:r>
        <w:t>الأثر: عُيّن هل يغير المعنى أو لا. وإذا غاب هذا الشرط خُفضت درجة النتيجة أو توقف اعتمادها بحسب أثر النقص.</w:t>
      </w:r>
    </w:p>
    <w:p>
      <w:pPr>
        <w:spacing w:line="283" w:lineRule="auto" w:after="80"/>
        <w:ind w:firstLine="397"/>
        <w:jc w:val="both"/>
        <w:bidi/>
      </w:pPr>
      <w:r>
        <w:t>التكامل: اختُبر الجمع قبل التعارض. وإذا غاب هذا الشرط خُفضت درجة النتيجة أو توقف اعتمادها بحسب أثر النقص.</w:t>
      </w:r>
    </w:p>
    <w:p>
      <w:pPr>
        <w:spacing w:line="283" w:lineRule="auto" w:after="80"/>
        <w:ind w:firstLine="397"/>
        <w:jc w:val="both"/>
        <w:bidi/>
      </w:pPr>
      <w:r>
        <w:t>البديل: صيغ تفسير منافس. وإذا غاب هذا الشرط خُفضت درجة النتيجة أو توقف اعتمادها بحسب أثر النقص.</w:t>
      </w:r>
    </w:p>
    <w:p>
      <w:pPr>
        <w:spacing w:line="283" w:lineRule="auto" w:after="80"/>
        <w:ind w:firstLine="397"/>
        <w:jc w:val="both"/>
        <w:bidi/>
      </w:pPr>
      <w:r>
        <w:t>الحجية: حُدد مجال الاستدلال وحدوده. وإذا غاب هذا الشرط خُفضت درجة النتيجة أو توقف اعتمادها بحسب أثر النقص.</w:t>
      </w:r>
    </w:p>
    <w:p>
      <w:pPr>
        <w:spacing w:line="283" w:lineRule="auto" w:after="80"/>
        <w:ind w:firstLine="397"/>
        <w:jc w:val="both"/>
        <w:bidi/>
      </w:pPr>
      <w:r>
        <w:t>المراجعة: راجع باحث مستقل المادة والحكم. وإذا غاب هذا الشرط خُفضت درجة النتيجة أو توقف اعتمادها بحسب أثر النقص.</w:t>
      </w:r>
    </w:p>
    <w:p>
      <w:pPr>
        <w:spacing w:line="283" w:lineRule="auto" w:after="80"/>
        <w:ind w:firstLine="397"/>
        <w:jc w:val="both"/>
        <w:bidi/>
      </w:pPr>
      <w:r>
        <w:t>الإصدار: حُفظت التغييرات والاعتراضات. وإذا غاب هذا الشرط خُفضت درجة النتيجة أو توقف اعتمادها بحسب أثر النقص.</w:t>
      </w:r>
    </w:p>
    <w:p>
      <w:pPr>
        <w:spacing w:line="283" w:lineRule="auto" w:after="80"/>
        <w:ind w:firstLine="397"/>
        <w:jc w:val="both"/>
        <w:bidi/>
      </w:pPr>
      <w:r>
        <w:t>الشفافية: ذُكر ما لم يُفحص أو ما بقي مختلفاً فيه. وإذا غاب هذا الشرط خُفضت درجة النتيجة أو توقف اعتمادها بحسب أثر النقص.</w:t>
      </w:r>
    </w:p>
    <w:p>
      <w:pPr>
        <w:pStyle w:val="Heading1"/>
        <w:spacing w:line="283" w:lineRule="auto" w:after="120"/>
        <w:jc w:val="right"/>
        <w:keepNext/>
        <w:bidi/>
      </w:pPr>
      <w:r>
        <w:t>الخاتمة</w:t>
      </w:r>
    </w:p>
    <w:p>
      <w:pPr>
        <w:spacing w:line="283" w:lineRule="auto" w:after="80"/>
        <w:ind w:firstLine="397"/>
        <w:jc w:val="both"/>
        <w:bidi/>
      </w:pPr>
      <w:r>
        <w:t>ينتهي الكتاب إلى أن علم القراءات لا يقع على هامش التفسير البياني، لأن اختلاف الأداء الثابت جزء من المادة التي يجب أن يراها المفسر قبل بناء المفهوم والشبكة والحكم. لكنه في الوقت نفسه ليس سلطةً مستقلةً عن القرآن؛ فكل قراءة تُفهم في نظام الكتاب ومحكماته وسياقاته.</w:t>
      </w:r>
    </w:p>
    <w:p>
      <w:pPr>
        <w:spacing w:line="283" w:lineRule="auto" w:after="80"/>
        <w:ind w:firstLine="397"/>
        <w:jc w:val="both"/>
        <w:bidi/>
      </w:pPr>
      <w:r>
        <w:t>أظهر التحليل أن أكبر الأخطاء تنشأ من الخلط بين الطبقات: الرسم والقراءة، والقراءة والرواية، والثبوت والتوجيه، والتوجيه والحكم. وحين تُفصل هذه الطبقات يمكن حفظ ثراء القراءات من غير تحويلها إلى تناقض أو أداة انتقائية.</w:t>
      </w:r>
    </w:p>
    <w:p>
      <w:pPr>
        <w:spacing w:line="283" w:lineRule="auto" w:after="80"/>
        <w:ind w:firstLine="397"/>
        <w:jc w:val="both"/>
        <w:bidi/>
      </w:pPr>
      <w:r>
        <w:t>تثبت القراءات أحياناً أن البيان يتسع لأكثر من زاوية صحيحة في الموضع الواحد، وأن وحدة القرآن ليست وحدة لفظية جامدةً بل وحدة خطاب يحتمل تنوع الأداء المتلقى. وهذه النتيجة لا تعني أن كل توجيه ممكن مراد، بل إن إمكان المعنى يحتاج دائماً إلى الثبوت والسياق والمحكم والشبكة.</w:t>
      </w:r>
    </w:p>
    <w:p>
      <w:pPr>
        <w:spacing w:line="283" w:lineRule="auto" w:after="80"/>
        <w:ind w:firstLine="397"/>
        <w:jc w:val="both"/>
        <w:bidi/>
      </w:pPr>
      <w:r>
        <w:t>كما ينتهي الكتاب إلى أن القراءات غير المشهورة تحتاج إلى علم أهدأ من ثنائية القبول والرد: فقد لا تكون قرآناً متعبداً بتلاوته، لكنها قد تحفظ أثراً لغوياً أو تفسيرياً أو تاريخياً يستحق الفحص. وتُقيد قيمة كل أثر بطريقه ووظيفته.</w:t>
      </w:r>
    </w:p>
    <w:p>
      <w:pPr>
        <w:spacing w:line="283" w:lineRule="auto" w:after="80"/>
        <w:ind w:firstLine="397"/>
        <w:jc w:val="both"/>
        <w:bidi/>
      </w:pPr>
      <w:r>
        <w:t>تفتح الحوسبة إمكان بناء أطلس للقراءات يربط النص والرسم والطريق والوجه والتوجيه والأثر، لكنه لا يملك أن يحكم بقرآنية القراءة أو مراد الله. وتظل الشهادة العلمية مسؤوليةً بشريةً تحت التبين والقسط.</w:t>
      </w:r>
    </w:p>
    <w:p>
      <w:pPr>
        <w:spacing w:line="283" w:lineRule="auto" w:after="80"/>
        <w:ind w:firstLine="397"/>
        <w:jc w:val="both"/>
        <w:bidi/>
      </w:pPr>
      <w:r>
        <w:t>وبذلك يستقر الكتاب السادس عشر حلقةً بين نظرية المحكم والمتشابه وبين الكتب اللاحقة في أسباب النزول والنسخ والمأثور؛ إذ يحدد صورة النص القرآني المتلقى التي ستعمل عليها تلك النظريات، ويمنع أن تُبنى أصول التفسير على نسخة مجردة من تنوع القراءات الثابتة.</w:t>
      </w:r>
    </w:p>
    <w:p>
      <w:pPr>
        <w:pStyle w:val="Heading2"/>
        <w:spacing w:line="283" w:lineRule="auto" w:after="120"/>
        <w:jc w:val="right"/>
        <w:keepNext/>
        <w:bidi/>
      </w:pPr>
      <w:r>
        <w:t>التعريف النهائي</w:t>
      </w:r>
    </w:p>
    <w:p>
      <w:pPr>
        <w:spacing w:line="283" w:lineRule="auto" w:after="80"/>
        <w:ind w:firstLine="397"/>
        <w:jc w:val="both"/>
        <w:bidi/>
      </w:pPr>
      <w:r>
        <w:t>القراءات في التفسير البياني هي وجوه الأداء واللفظ المنقولة في طرق محددة والمتصلة بالنص القرآني المنزل، تُفحص مراتب ثبوتها وصلتها بالرسم والعربية والتلقي، ثم يُحلل أثرها الصوتي والصرفي والنحوي والمعجمي والتركيبي والمفهومي والسياقي، وتُدمج القراءات الثابتة في شبكة البيان بوصفها وجوهاً متكاملة أو متغايرة بحسب الدليل، من غير تحويلها إلى نصوص مستقلة أو إلغاء بعضها بالترجيح المذهبي، وتُقيد القراءات غير المشهورة بوظيفتها التاريخية واللغوية والتفسيرية، وتظل جميع النتائج قابلةً للمراجعة تحت حاكمية القرآن ومنطق البيان والميزان والقسط.</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rPr>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السادس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السادس عشر: القرآن والقراءات وأثرها في البيان والتفسير</dc:title>
  <dc:subject>موسوعة علم الأصول النظرية للتفسير البياني في ميزان القرآن ومنطق البيان</dc:subject>
  <dc:creator>Ibn ʿAbbās al-ʿĀmilī, PhD</dc:creator>
  <cp:keywords>القراءات، القرآن، التفسير، البيان، الرسم، القراءات الشاذة، منطق البيان</cp:keywords>
  <dc:description>generated by python-docx</dc:description>
  <cp:lastModifiedBy/>
  <cp:revision>1</cp:revision>
  <dcterms:created xsi:type="dcterms:W3CDTF">2013-12-23T23:15:00Z</dcterms:created>
  <dcterms:modified xsi:type="dcterms:W3CDTF">2013-12-23T23:15:00Z</dcterms:modified>
  <cp:category/>
</cp:coreProperties>
</file>