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السابع عشر</w:t>
      </w:r>
    </w:p>
    <w:p>
      <w:pPr>
        <w:spacing w:line="283" w:lineRule="auto" w:after="80" w:before="0"/>
        <w:jc w:val="center"/>
        <w:bidi/>
      </w:pPr>
      <w:r>
        <w:rPr>
          <w:b/>
          <w:sz w:val="44"/>
        </w:rPr>
        <w:t>أسباب النزول في ميزان القرآن ومنطق البيان</w:t>
      </w:r>
    </w:p>
    <w:p>
      <w:pPr>
        <w:spacing w:line="283" w:lineRule="auto" w:after="80" w:before="0"/>
        <w:jc w:val="center"/>
        <w:bidi/>
      </w:pPr>
      <w:r>
        <w:rPr>
          <w:b w:val="0"/>
          <w:sz w:val="29"/>
        </w:rPr>
        <w:t>نظرية الخبر النزولي وحدود الحاكمية التاريخية في التفسير</w:t>
      </w:r>
    </w:p>
    <w:p>
      <w:pPr>
        <w:spacing w:line="283" w:lineRule="auto" w:after="80" w:before="900"/>
        <w:jc w:val="center"/>
        <w:bidi/>
      </w:pPr>
      <w:r>
        <w:rPr>
          <w:sz w:val="26"/>
        </w:rP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يعيد هذا الكتاب بناء علم أسباب النزول داخل أصول التفسير البياني، بحيث لا يكون سبب النزول سلطةً خارجيةً تحكم النص، ولا خبراً تاريخياً يُهمل مع أنه قد يفسر مقام الخطاب. وينطلق من أن القرآن نص منزل محفوظ، وأن أخبار النزول روايات بشرية تحتاج إلى التحقق من الثبوت والدلالة والوظيفة، وأن قيمتها التفسيرية تتحدد بقدر ما تثبته من واقعة أو سؤال أو مخاطب أو ظرف من غير أن تحصر المعنى إلا بقرينة من النص نفسه.</w:t>
      </w:r>
    </w:p>
    <w:p>
      <w:pPr>
        <w:spacing w:line="283" w:lineRule="auto" w:after="80"/>
        <w:ind w:firstLine="397"/>
        <w:jc w:val="both"/>
        <w:bidi/>
      </w:pPr>
      <w:r>
        <w:t>يفصل الكتاب بين سبب النزول الحقيقي، والمناسبة التاريخية، والسؤال الذي نزل الجواب بشأنه، والمصداق الأول، والتطبيق اللاحق، والتفسير بالمثال، والقصة الشارحة، وخبر التلقي. وهذا التفريق يمنع الخطأ الشائع الذي يحول كل رواية مرتبطة بآية إلى سبب نزول، ثم يجعل ذلك السبب حاكماً على عموم النص أو على مقصده.</w:t>
      </w:r>
    </w:p>
    <w:p>
      <w:pPr>
        <w:spacing w:line="283" w:lineRule="auto" w:after="80"/>
        <w:ind w:firstLine="397"/>
        <w:jc w:val="both"/>
        <w:bidi/>
      </w:pPr>
      <w:r>
        <w:t>تقوم النظرية على ترتيب الأدلة: يبدأ المفسر بالنص واللسان والسياق الداخلي والمقطع والسورة والتصريف القرآني، ثم يفحص أخبار النزول في ضوء علم الحديث والرجال البياني، ويحدد نوع الخبر ووظيفته ودرجة ثبوته، ثم يختبر أثره التفسيري. فإذا صح الخبر ولم يحتج إليه معنى الآية بقي شاهداً تاريخياً لا حاكماً، وإذا كشف مقاماً أو مخاطباً أو واقعةً مؤثرةً في الدلالة استُعمل بقدر ذلك الأثر.</w:t>
      </w:r>
    </w:p>
    <w:p>
      <w:pPr>
        <w:spacing w:line="283" w:lineRule="auto" w:after="80"/>
        <w:ind w:firstLine="397"/>
        <w:jc w:val="both"/>
        <w:bidi/>
      </w:pPr>
      <w:r>
        <w:t>يفرق الكتاب بين تاريخ النزول وتاريخ التفسير؛ فقد تنسب رواية متأخرة إلى زمن النزول معنىً تشكل لاحقاً، وقد يكون الخبر الصحيح في أصله شاهداً على تطبيق صحابي لا على سبب نزول. لذلك تُدرس أسانيد الرواية ومتونها وألفاظها ومصادرها وتاريخ ظهورها ومسار انتقالها، مع مقارنة الصيغ المتعددة وعدم اختزالها في صيغة واحدة.</w:t>
      </w:r>
    </w:p>
    <w:p>
      <w:pPr>
        <w:spacing w:line="283" w:lineRule="auto" w:after="80"/>
        <w:ind w:firstLine="397"/>
        <w:jc w:val="both"/>
        <w:bidi/>
      </w:pPr>
      <w:r>
        <w:t>كما يحرر الكتاب قاعدة عموم اللفظ وخصوص السبب من جديد؛ فلا يجعلها قانوناً آلياً ولا ينقضها باسم السياق. فسبب خاص قد يفسر مناطاً أو مخاطباً أو قيداً يفهم من النص، لكنه لا يحصر العموم بذاته. والعبرة في النهاية ببنية الدلالة القرآنية بعد جمع النص والسياق والمحكمات والتصريف، لا بمجرد اسم الواقعة أو شهرة الرواية.</w:t>
      </w:r>
    </w:p>
    <w:p>
      <w:pPr>
        <w:spacing w:line="283" w:lineRule="auto" w:after="80"/>
        <w:ind w:firstLine="397"/>
        <w:jc w:val="both"/>
        <w:bidi/>
      </w:pPr>
      <w:r>
        <w:t>يضع الكتاب خوارزمية من عشرين مرحلة لبناء ملف سبب النزول، ومصفوفةً حاسوبيةً توثق الآية والرواية والطريق والمتن ونوع العلاقة ودرجة الثبوت والسياق وأثر الخبر في التفسير والفرضية المنافسة وسجل المراجعة. ويؤكد أن الذكاء الاصطناعي يستطيع جمع الصيغ واكتشاف التشابه لكنه لا يقرر وحده أن الرواية سبب نزول ولا أن السبب مخصص للآية.</w:t>
      </w:r>
    </w:p>
    <w:p>
      <w:pPr>
        <w:spacing w:line="283" w:lineRule="auto" w:after="80"/>
        <w:ind w:firstLine="397"/>
        <w:jc w:val="both"/>
        <w:bidi/>
      </w:pPr>
      <w:r>
        <w:t>يختبر الكتاب النظرية على نماذج من آيات الظهار واللعان والإفك والقبلة والربا والقتال والولاية والتطهير وأولي الأمر والسكر والصلاة وغيرها، ويبين في كل نموذج الفرق بين ما يثبته النص وما تضيفه الرواية وما يبقى محل احتمال. ولا يقصد المختبر حسم جميع الخلافات، بل اختبار صلاحية المنهج وبيان حدود الحكم.</w:t>
      </w:r>
    </w:p>
    <w:p>
      <w:pPr>
        <w:spacing w:line="283" w:lineRule="auto" w:after="80"/>
        <w:ind w:firstLine="397"/>
        <w:jc w:val="both"/>
        <w:bidi/>
      </w:pPr>
      <w:r>
        <w:t>ينتهي الكتاب إلى أن سبب النزول في التفسير البياني هو خبر تاريخي محدد الوظيفة يثبت بمراتب، ويستعمل بقدر ما يضيفه من بيان للنزول من غير أن يحل محل القرآن أو يصنع من نفسه محكماً فوقه. وتبقى الحاكمية للقرآن، ويظل الخبر خادماً للبيان، ويكون التوقف واجباً عند نقص الدليل أو تعارض الروايات أو عدم إمكان التمييز بين السبب والمصداق.</w:t>
      </w:r>
    </w:p>
    <w:p>
      <w:pPr>
        <w:pStyle w:val="Heading2"/>
        <w:spacing w:line="283" w:lineRule="auto" w:after="120"/>
        <w:jc w:val="right"/>
        <w:keepNext/>
        <w:bidi/>
      </w:pPr>
      <w:r>
        <w:t>المعادلة الحاكمة</w:t>
      </w:r>
    </w:p>
    <w:p>
      <w:pPr>
        <w:spacing w:line="283" w:lineRule="auto" w:after="80"/>
        <w:ind w:firstLine="397"/>
        <w:jc w:val="both"/>
        <w:bidi/>
      </w:pPr>
      <w:r>
        <w:t>النص القرآني ← والسياق الداخلي ← والتصريف والمحكمات ← وجمع أخبار النزول ← وفحص الأسانيد والمتون ← وتحديد نوع العلاقة التاريخية ← وتقدير أثر الخبر في المعنى ← واختبار العموم والخصوص ← وبناء قراءة منافسة ← وصياغة الحكم بدرجته وحدوده ← والمراجعة والإصدار.</w:t>
      </w:r>
    </w:p>
    <w:p>
      <w:pPr>
        <w:pStyle w:val="Heading1"/>
        <w:spacing w:line="283" w:lineRule="auto" w:after="120"/>
        <w:jc w:val="right"/>
        <w:keepNext/>
        <w:bidi/>
      </w:pPr>
      <w:r>
        <w:t>خريطة الكتاب</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rPr>
          <w:cantSplit/>
        </w:trP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أسباب النزول وموضوع النظرية</w:t>
            </w:r>
          </w:p>
        </w:tc>
      </w:tr>
      <w:tr>
        <w:trPr>
          <w:cantSplit/>
        </w:trP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السبب والمناسبة والمصداق والتطبيق: تحرير المصطلحات</w:t>
            </w:r>
          </w:p>
        </w:tc>
      </w:tr>
      <w:tr>
        <w:trPr>
          <w:cantSplit/>
        </w:trP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مراتب أخبار النزول ومصادرها التاريخية</w:t>
            </w:r>
          </w:p>
        </w:tc>
      </w:tr>
      <w:tr>
        <w:trPr>
          <w:cantSplit/>
        </w:trP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الثبوت الحديثي والرجالي لأخبار النزول</w:t>
            </w:r>
          </w:p>
        </w:tc>
      </w:tr>
      <w:tr>
        <w:trPr>
          <w:cantSplit/>
        </w:trP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المتن والتعدد والاختلاف وتاريخ الرواية</w:t>
            </w:r>
          </w:p>
        </w:tc>
      </w:tr>
      <w:tr>
        <w:trPr>
          <w:cantSplit/>
        </w:trP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السياق الداخلي والسياق النزولي وترتيب الحاكمية</w:t>
            </w:r>
          </w:p>
        </w:tc>
      </w:tr>
      <w:tr>
        <w:trPr>
          <w:cantSplit/>
        </w:trP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خصوص السبب وعموم اللفظ في ميزان البيان</w:t>
            </w:r>
          </w:p>
        </w:tc>
      </w:tr>
      <w:tr>
        <w:trPr>
          <w:cantSplit/>
        </w:trP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المخاطب والواقعة والمقام ووظيفة الخبر النزولي</w:t>
            </w:r>
          </w:p>
        </w:tc>
      </w:tr>
      <w:tr>
        <w:trPr>
          <w:cantSplit/>
        </w:trP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المكي والمدني وترتيب النزول وصلته بأسباب النزول</w:t>
            </w:r>
          </w:p>
        </w:tc>
      </w:tr>
      <w:tr>
        <w:trPr>
          <w:cantSplit/>
        </w:trP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أسباب النزول والتفسير بالمأثور وأقوال الصحابة</w:t>
            </w:r>
          </w:p>
        </w:tc>
      </w:tr>
      <w:tr>
        <w:trPr>
          <w:cantSplit/>
        </w:trP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أسباب النزول والقراءات والوقف والابتداء</w:t>
            </w:r>
          </w:p>
        </w:tc>
      </w:tr>
      <w:tr>
        <w:trPr>
          <w:cantSplit/>
        </w:trP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أسباب النزول والمحكم والمتشابه والترجيح</w:t>
            </w:r>
          </w:p>
        </w:tc>
      </w:tr>
      <w:tr>
        <w:trPr>
          <w:cantSplit/>
        </w:trP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أسباب النزول في العقيدة والتشريع والحقوق</w:t>
            </w:r>
          </w:p>
        </w:tc>
      </w:tr>
      <w:tr>
        <w:trPr>
          <w:cantSplit/>
        </w:trP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المذاهب والمدارس ومخاطر التوظيف التاريخي</w:t>
            </w:r>
          </w:p>
        </w:tc>
      </w:tr>
      <w:tr>
        <w:trPr>
          <w:cantSplit/>
        </w:trP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مغالطات أسباب النزول وحدود الاستدلال</w:t>
            </w:r>
          </w:p>
        </w:tc>
      </w:tr>
      <w:tr>
        <w:trPr>
          <w:cantSplit/>
        </w:trP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والمصفوفة الحاسوبية لخبر النزول</w:t>
            </w:r>
          </w:p>
        </w:tc>
      </w:tr>
      <w:tr>
        <w:trPr>
          <w:cantSplit/>
        </w:trP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المختبرات التطبيقية في الآيات والقضايا الكبرى</w:t>
            </w:r>
          </w:p>
        </w:tc>
      </w:tr>
      <w:tr>
        <w:trPr>
          <w:cantSplit/>
        </w:trP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أسباب النزول</w:t>
            </w:r>
          </w:p>
        </w:tc>
      </w:tr>
    </w:tbl>
    <w:p>
      <w:pPr>
        <w:spacing w:after="20"/>
      </w:pPr>
    </w:p>
    <w:p>
      <w:r>
        <w:br w:type="page"/>
      </w:r>
    </w:p>
    <w:p>
      <w:pPr>
        <w:pStyle w:val="Heading1"/>
        <w:spacing w:line="283" w:lineRule="auto" w:after="120"/>
        <w:jc w:val="right"/>
        <w:keepNext/>
        <w:bidi/>
      </w:pPr>
      <w:r>
        <w:t>الباب الأول: ماهية أسباب النزول وموضوع النظرية</w:t>
      </w:r>
    </w:p>
    <w:p>
      <w:pPr>
        <w:spacing w:line="283" w:lineRule="auto" w:after="80"/>
        <w:ind w:firstLine="397"/>
        <w:jc w:val="both"/>
        <w:bidi/>
      </w:pPr>
      <w:r>
        <w:t>يفتتح هذا الباب بالسؤال: ما الذي نسميه سبب نزول، وما موضوع العلم وحدوده بالنسبة إلى التفسير والتاريخ؟ وتقوم فرضيته على أن سبب النزول خبر عن واقعة أو سؤال أو قول ثبتت صلته بإنزال آية أو مقطع، ولا يساوي كل خبر يشرح الآية أو يطبقها.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الذي نسميه سبب نزول، وما موضوع العلم وحدوده بالنسبة إلى التفسير والتاريخ؟ وتنطلق فرضيته من أن سبب النزول خبر عن واقعة أو سؤال أو قول ثبتت صلته بإنزال آية أو مقطع، ولا يساوي كل خبر يشرح الآية أو يطبقها.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السبب والنزول والواقعة.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الخبر والوظيفة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السبب والنزول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الواقعة أو الخبر أو الوظيفة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السبب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النزول عن الواقعة: الأول قد يصف ظرفاً أو حدثاً مجاوراً، أما الثاني فقد يكون أول فرد طُبق عليه العموم. ويختلف كلاهما عن الخبر إذا كان الأخير تفسيراً تعليمياً أو استنباطاً متأخراً.</w:t>
      </w:r>
    </w:p>
    <w:p>
      <w:pPr>
        <w:spacing w:line="283" w:lineRule="auto" w:after="80"/>
        <w:ind w:firstLine="397"/>
        <w:jc w:val="both"/>
        <w:bidi/>
      </w:pPr>
      <w:r>
        <w:t>أما الوظيفة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السبب والنزول، ثم تنتقل إلى الواقعة والخبر والوظيفة.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السبب والواقعة، أو بين النزول والخبر.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السبب والنزول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الواقعة لا يتغير بثبوت الخبر، بينما يتغير فهم الخبر أو الوظيفة.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سبب النزول خبر عن واقعة أو سؤال أو قول ثبتت صلته بإنزال آية أو مقطع، ولا يساوي كل خبر يشرح الآية أو يطبقها. وتُطبق مع حفظ الفروق بين السبب والنزول والواقعة،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الثاني: السبب والمناسبة والمصداق والتطبيق: تحرير المصطلحات</w:t>
      </w:r>
    </w:p>
    <w:p>
      <w:pPr>
        <w:spacing w:line="283" w:lineRule="auto" w:after="80"/>
        <w:ind w:firstLine="397"/>
        <w:jc w:val="both"/>
        <w:bidi/>
      </w:pPr>
      <w:r>
        <w:t>يفتتح هذا الباب بالسؤال: كيف نميز السبب الحقيقي من المناسبة والمصداق والتطبيق والتمثيل؟ وتقوم فرضيته على أن التمييز الوظيفي شرط سابق للحكم؛ فالخبر قد يكون صحيحاً تاريخياً لكنه لا يصف لحظة النزول.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نميز السبب الحقيقي من المناسبة والمصداق والتطبيق والتمثيل؟ وتنطلق فرضيته من أن التمييز الوظيفي شرط سابق للحكم؛ فالخبر قد يكون صحيحاً تاريخياً لكنه لا يصف لحظة النزول.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السبب والمناسبة والمصداق.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التطبيق والمثال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السبب والمناسبة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المصداق أو التطبيق أو المثال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السبب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المناسبة عن المصداق: الأول قد يصف ظرفاً أو حدثاً مجاوراً، أما الثاني فقد يكون أول فرد طُبق عليه العموم. ويختلف كلاهما عن التطبيق إذا كان الأخير تفسيراً تعليمياً أو استنباطاً متأخراً.</w:t>
      </w:r>
    </w:p>
    <w:p>
      <w:pPr>
        <w:spacing w:line="283" w:lineRule="auto" w:after="80"/>
        <w:ind w:firstLine="397"/>
        <w:jc w:val="both"/>
        <w:bidi/>
      </w:pPr>
      <w:r>
        <w:t>أما المثال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السبب والمناسبة، ثم تنتقل إلى المصداق والتطبيق والمثال.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السبب والمصداق، أو بين المناسبة والتطبيق.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السبب والمناسبة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المصداق لا يتغير بثبوت الخبر، بينما يتغير فهم التطبيق أو المثال.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التمييز الوظيفي شرط سابق للحكم؛ فالخبر قد يكون صحيحاً تاريخياً لكنه لا يصف لحظة النزول. وتُطبق مع حفظ الفروق بين السبب والمناسبة والمصداق،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الثالث: مراتب أخبار النزول ومصادرها التاريخية</w:t>
      </w:r>
    </w:p>
    <w:p>
      <w:pPr>
        <w:spacing w:line="283" w:lineRule="auto" w:after="80"/>
        <w:ind w:firstLine="397"/>
        <w:jc w:val="both"/>
        <w:bidi/>
      </w:pPr>
      <w:r>
        <w:t>يفتتح هذا الباب بالسؤال: ما مراتب أخبار النزول وما مصادرها؟ وتقوم فرضيته على أن تتفاوت الأخبار من تصريح صحابي بواقعة النزول إلى رواية تفسيرية متأخرة، ولا تتساوى في القوة أو الوظيفة.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مراتب أخبار النزول وما مصادرها؟ وتنطلق فرضيته من أن تتفاوت الأخبار من تصريح صحابي بواقعة النزول إلى رواية تفسيرية متأخرة، ولا تتساوى في القوة أو الوظيفة.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المصدر والتصريح والرفع.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الصحابي والمصنف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المصدر والتصريح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الرفع أو الصحابي أو المصنف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المصدر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التصريح عن الرفع: الأول قد يصف ظرفاً أو حدثاً مجاوراً، أما الثاني فقد يكون أول فرد طُبق عليه العموم. ويختلف كلاهما عن الصحابي إذا كان الأخير تفسيراً تعليمياً أو استنباطاً متأخراً.</w:t>
      </w:r>
    </w:p>
    <w:p>
      <w:pPr>
        <w:spacing w:line="283" w:lineRule="auto" w:after="80"/>
        <w:ind w:firstLine="397"/>
        <w:jc w:val="both"/>
        <w:bidi/>
      </w:pPr>
      <w:r>
        <w:t>أما المصنف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المصدر والتصريح، ثم تنتقل إلى الرفع والصحابي والمصنف.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المصدر والرفع، أو بين التصريح والصحابي.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المصدر والتصريح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الرفع لا يتغير بثبوت الخبر، بينما يتغير فهم الصحابي أو المصنف.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تتفاوت الأخبار من تصريح صحابي بواقعة النزول إلى رواية تفسيرية متأخرة، ولا تتساوى في القوة أو الوظيفة. وتُطبق مع حفظ الفروق بين المصدر والتصريح والرفع،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الرابع: الثبوت الحديثي والرجالي لأخبار النزول</w:t>
      </w:r>
    </w:p>
    <w:p>
      <w:pPr>
        <w:spacing w:line="283" w:lineRule="auto" w:after="80"/>
        <w:ind w:firstLine="397"/>
        <w:jc w:val="both"/>
        <w:bidi/>
      </w:pPr>
      <w:r>
        <w:t>يفتتح هذا الباب بالسؤال: كيف يطبق علم الحديث والرجال البياني على أخبار النزول؟ وتقوم فرضيته على أن خبر النزول رواية تاريخية تمر بموازين الطريق والراوي والكتاب والمتن والسياق قبل استعمالها.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يطبق علم الحديث والرجال البياني على أخبار النزول؟ وتنطلق فرضيته من أن خبر النزول رواية تاريخية تمر بموازين الطريق والراوي والكتاب والمتن والسياق قبل استعمالها.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الإسناد والراوي والطريق.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الكتاب والثبوت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الإسناد والراوي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الطريق أو الكتاب أو الثبوت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الإسناد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الراوي عن الطريق: الأول قد يصف ظرفاً أو حدثاً مجاوراً، أما الثاني فقد يكون أول فرد طُبق عليه العموم. ويختلف كلاهما عن الكتاب إذا كان الأخير تفسيراً تعليمياً أو استنباطاً متأخراً.</w:t>
      </w:r>
    </w:p>
    <w:p>
      <w:pPr>
        <w:spacing w:line="283" w:lineRule="auto" w:after="80"/>
        <w:ind w:firstLine="397"/>
        <w:jc w:val="both"/>
        <w:bidi/>
      </w:pPr>
      <w:r>
        <w:t>أما الثبوت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الإسناد والراوي، ثم تنتقل إلى الطريق والكتاب والثبوت.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الإسناد والطريق، أو بين الراوي والكتاب.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الإسناد والراوي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الطريق لا يتغير بثبوت الخبر، بينما يتغير فهم الكتاب أو الثبوت.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خبر النزول رواية تاريخية تمر بموازين الطريق والراوي والكتاب والمتن والسياق قبل استعمالها. وتُطبق مع حفظ الفروق بين الإسناد والراوي والطريق،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الخامس: المتن والتعدد والاختلاف وتاريخ الرواية</w:t>
      </w:r>
    </w:p>
    <w:p>
      <w:pPr>
        <w:spacing w:line="283" w:lineRule="auto" w:after="80"/>
        <w:ind w:firstLine="397"/>
        <w:jc w:val="both"/>
        <w:bidi/>
      </w:pPr>
      <w:r>
        <w:t>يفتتح هذا الباب بالسؤال: كيف يُعالج اختلاف صيغ خبر النزول وتعدد الروايات؟ وتقوم فرضيته على أن يجب جمع الصيغ قبل تركيب القصة، لأن اختلاف اللفظ قد يكشف تعدد الواقعة أو تطور التفسير أو الإدراج.</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يُعالج اختلاف صيغ خبر النزول وتعدد الروايات؟ وتنطلق فرضيته من أن يجب جمع الصيغ قبل تركيب القصة، لأن اختلاف اللفظ قد يكشف تعدد الواقعة أو تطور التفسير أو الإدراج.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المتن واللفظ والتعدد.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الإدراج والتاريخ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المتن واللفظ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التعدد أو الإدراج أو التاريخ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المتن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اللفظ عن التعدد: الأول قد يصف ظرفاً أو حدثاً مجاوراً، أما الثاني فقد يكون أول فرد طُبق عليه العموم. ويختلف كلاهما عن الإدراج إذا كان الأخير تفسيراً تعليمياً أو استنباطاً متأخراً.</w:t>
      </w:r>
    </w:p>
    <w:p>
      <w:pPr>
        <w:spacing w:line="283" w:lineRule="auto" w:after="80"/>
        <w:ind w:firstLine="397"/>
        <w:jc w:val="both"/>
        <w:bidi/>
      </w:pPr>
      <w:r>
        <w:t>أما التاريخ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المتن واللفظ، ثم تنتقل إلى التعدد والإدراج والتاريخ.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المتن والتعدد، أو بين اللفظ والإدراج.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المتن واللفظ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التعدد لا يتغير بثبوت الخبر، بينما يتغير فهم الإدراج أو التاريخ.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يجب جمع الصيغ قبل تركيب القصة، لأن اختلاف اللفظ قد يكشف تعدد الواقعة أو تطور التفسير أو الإدراج. وتُطبق مع حفظ الفروق بين المتن واللفظ والتعدد،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السادس: السياق الداخلي والسياق النزولي وترتيب الحاكمية</w:t>
      </w:r>
    </w:p>
    <w:p>
      <w:pPr>
        <w:spacing w:line="283" w:lineRule="auto" w:after="80"/>
        <w:ind w:firstLine="397"/>
        <w:jc w:val="both"/>
        <w:bidi/>
      </w:pPr>
      <w:r>
        <w:t>يفتتح هذا الباب بالسؤال: أي السياقين يحكم: الداخلي أم النزولي؟ وتقوم فرضيته على أن السياق الداخلي المنزل هو الأصل، والخبر النزولي قرينة خارجية تُستعمل بقدر ثبوتها ولا تعيد كتابة النص.</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أي السياقين يحكم: الداخلي أم النزولي؟ وتنطلق فرضيته من أن السياق الداخلي المنزل هو الأصل، والخبر النزولي قرينة خارجية تُستعمل بقدر ثبوتها ولا تعيد كتابة النص.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السياق والمقطع والسورة.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النزول والحاكمية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السياق والمقطع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السورة أو النزول أو الحاكمية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السياق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المقطع عن السورة: الأول قد يصف ظرفاً أو حدثاً مجاوراً، أما الثاني فقد يكون أول فرد طُبق عليه العموم. ويختلف كلاهما عن النزول إذا كان الأخير تفسيراً تعليمياً أو استنباطاً متأخراً.</w:t>
      </w:r>
    </w:p>
    <w:p>
      <w:pPr>
        <w:spacing w:line="283" w:lineRule="auto" w:after="80"/>
        <w:ind w:firstLine="397"/>
        <w:jc w:val="both"/>
        <w:bidi/>
      </w:pPr>
      <w:r>
        <w:t>أما الحاكمية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السياق والمقطع، ثم تنتقل إلى السورة والنزول والحاكمية.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السياق والسورة، أو بين المقطع والنزول.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السياق والمقطع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السورة لا يتغير بثبوت الخبر، بينما يتغير فهم النزول أو الحاكمية.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السياق الداخلي المنزل هو الأصل، والخبر النزولي قرينة خارجية تُستعمل بقدر ثبوتها ولا تعيد كتابة النص. وتُطبق مع حفظ الفروق بين السياق والمقطع والسورة،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السابع: خصوص السبب وعموم اللفظ في ميزان البيان</w:t>
      </w:r>
    </w:p>
    <w:p>
      <w:pPr>
        <w:spacing w:line="283" w:lineRule="auto" w:after="80"/>
        <w:ind w:firstLine="397"/>
        <w:jc w:val="both"/>
        <w:bidi/>
      </w:pPr>
      <w:r>
        <w:t>يفتتح هذا الباب بالسؤال: ما حقيقة قاعدة العبرة بعموم اللفظ لا بخصوص السبب؟ وتقوم فرضيته على أن العموم والخصوص يُستخرجان من بنية النص والمناط، والسبب الخاص لا يحصر العموم ولا يُلغى أثره إذا كشف قيداً دلالياً.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حقيقة قاعدة العبرة بعموم اللفظ لا بخصوص السبب؟ وتنطلق فرضيته من أن العموم والخصوص يُستخرجان من بنية النص والمناط، والسبب الخاص لا يحصر العموم ولا يُلغى أثره إذا كشف قيداً دلالياً.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العموم والخصوص والسبب.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المناط والقيد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العموم والخصوص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السبب أو المناط أو القيد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العموم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الخصوص عن السبب: الأول قد يصف ظرفاً أو حدثاً مجاوراً، أما الثاني فقد يكون أول فرد طُبق عليه العموم. ويختلف كلاهما عن المناط إذا كان الأخير تفسيراً تعليمياً أو استنباطاً متأخراً.</w:t>
      </w:r>
    </w:p>
    <w:p>
      <w:pPr>
        <w:spacing w:line="283" w:lineRule="auto" w:after="80"/>
        <w:ind w:firstLine="397"/>
        <w:jc w:val="both"/>
        <w:bidi/>
      </w:pPr>
      <w:r>
        <w:t>أما القيد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العموم والخصوص، ثم تنتقل إلى السبب والمناط والقيد.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العموم والسبب، أو بين الخصوص والمناط.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العموم والخصوص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السبب لا يتغير بثبوت الخبر، بينما يتغير فهم المناط أو القيد.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العموم والخصوص يُستخرجان من بنية النص والمناط، والسبب الخاص لا يحصر العموم ولا يُلغى أثره إذا كشف قيداً دلالياً. وتُطبق مع حفظ الفروق بين العموم والخصوص والسبب،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الثامن: المخاطب والواقعة والمقام ووظيفة الخبر النزولي</w:t>
      </w:r>
    </w:p>
    <w:p>
      <w:pPr>
        <w:spacing w:line="283" w:lineRule="auto" w:after="80"/>
        <w:ind w:firstLine="397"/>
        <w:jc w:val="both"/>
        <w:bidi/>
      </w:pPr>
      <w:r>
        <w:t>يفتتح هذا الباب بالسؤال: كيف يحدد سبب النزول المخاطب والمقام ووظيفة الخطاب؟ وتقوم فرضيته على أن قد يكشف الخبر مخاطباً أولياً أو مقام سؤال أو خصومة، لكن التعميم يحتاج إلى دلالة النص لا إلى مجرد انتقال الاسم.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يحدد سبب النزول المخاطب والمقام ووظيفة الخطاب؟ وتنطلق فرضيته من أن قد يكشف الخبر مخاطباً أولياً أو مقام سؤال أو خصومة، لكن التعميم يحتاج إلى دلالة النص لا إلى مجرد انتقال الاسم.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المخاطب والمقام والسؤال.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الخصومة والوظيفة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المخاطب والمقام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السؤال أو الخصومة أو الوظيفة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المخاطب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المقام عن السؤال: الأول قد يصف ظرفاً أو حدثاً مجاوراً، أما الثاني فقد يكون أول فرد طُبق عليه العموم. ويختلف كلاهما عن الخصومة إذا كان الأخير تفسيراً تعليمياً أو استنباطاً متأخراً.</w:t>
      </w:r>
    </w:p>
    <w:p>
      <w:pPr>
        <w:spacing w:line="283" w:lineRule="auto" w:after="80"/>
        <w:ind w:firstLine="397"/>
        <w:jc w:val="both"/>
        <w:bidi/>
      </w:pPr>
      <w:r>
        <w:t>أما الوظيفة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المخاطب والمقام، ثم تنتقل إلى السؤال والخصومة والوظيفة.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المخاطب والسؤال، أو بين المقام والخصومة.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المخاطب والمقام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السؤال لا يتغير بثبوت الخبر، بينما يتغير فهم الخصومة أو الوظيفة.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قد يكشف الخبر مخاطباً أولياً أو مقام سؤال أو خصومة، لكن التعميم يحتاج إلى دلالة النص لا إلى مجرد انتقال الاسم. وتُطبق مع حفظ الفروق بين المخاطب والمقام والسؤال،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التاسع: المكي والمدني وترتيب النزول وصلته بأسباب النزول</w:t>
      </w:r>
    </w:p>
    <w:p>
      <w:pPr>
        <w:spacing w:line="283" w:lineRule="auto" w:after="80"/>
        <w:ind w:firstLine="397"/>
        <w:jc w:val="both"/>
        <w:bidi/>
      </w:pPr>
      <w:r>
        <w:t>يفتتح هذا الباب بالسؤال: ما أثر المكي والمدني وترتيب النزول في فهم السبب؟ وتقوم فرضيته على أن التصنيف الزمني إطار تاريخي متفاوت الدقة، ولا يجوز أن يتحول إلى ناسخ للدلالة من غير نص أو دليل.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أثر المكي والمدني وترتيب النزول في فهم السبب؟ وتنطلق فرضيته من أن التصنيف الزمني إطار تاريخي متفاوت الدقة، ولا يجوز أن يتحول إلى ناسخ للدلالة من غير نص أو دليل.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المكي والمدني والترتيب.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المرحلة والتاريخ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المكي والمدني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الترتيب أو المرحلة أو التاريخ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المكي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المدني عن الترتيب: الأول قد يصف ظرفاً أو حدثاً مجاوراً، أما الثاني فقد يكون أول فرد طُبق عليه العموم. ويختلف كلاهما عن المرحلة إذا كان الأخير تفسيراً تعليمياً أو استنباطاً متأخراً.</w:t>
      </w:r>
    </w:p>
    <w:p>
      <w:pPr>
        <w:spacing w:line="283" w:lineRule="auto" w:after="80"/>
        <w:ind w:firstLine="397"/>
        <w:jc w:val="both"/>
        <w:bidi/>
      </w:pPr>
      <w:r>
        <w:t>أما التاريخ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المكي والمدني، ثم تنتقل إلى الترتيب والمرحلة والتاريخ.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المكي والترتيب، أو بين المدني والمرحلة.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المكي والمدني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الترتيب لا يتغير بثبوت الخبر، بينما يتغير فهم المرحلة أو التاريخ.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التصنيف الزمني إطار تاريخي متفاوت الدقة، ولا يجوز أن يتحول إلى ناسخ للدلالة من غير نص أو دليل. وتُطبق مع حفظ الفروق بين المكي والمدني والترتيب،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العاشر: أسباب النزول والتفسير بالمأثور وأقوال الصحابة</w:t>
      </w:r>
    </w:p>
    <w:p>
      <w:pPr>
        <w:spacing w:line="283" w:lineRule="auto" w:after="80"/>
        <w:ind w:firstLine="397"/>
        <w:jc w:val="both"/>
        <w:bidi/>
      </w:pPr>
      <w:r>
        <w:t>يفتتح هذا الباب بالسؤال: ما موقع أقوال الصحابة والتفسير بالمأثور في أسباب النزول؟ وتقوم فرضيته على أن قول الصحابي قد يكون شهادة على النزول أو تفسيراً أو تطبيقاً، وتختلف الحجية باختلاف الصيغة والقرائن.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موقع أقوال الصحابة والتفسير بالمأثور في أسباب النزول؟ وتنطلق فرضيته من أن قول الصحابي قد يكون شهادة على النزول أو تفسيراً أو تطبيقاً، وتختلف الحجية باختلاف الصيغة والقرائن.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الصحابي والمأثور والشهادة.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التفسير والتطبيق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الصحابي والمأثور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الشهادة أو التفسير أو التطبيق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الصحابي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المأثور عن الشهادة: الأول قد يصف ظرفاً أو حدثاً مجاوراً، أما الثاني فقد يكون أول فرد طُبق عليه العموم. ويختلف كلاهما عن التفسير إذا كان الأخير تفسيراً تعليمياً أو استنباطاً متأخراً.</w:t>
      </w:r>
    </w:p>
    <w:p>
      <w:pPr>
        <w:spacing w:line="283" w:lineRule="auto" w:after="80"/>
        <w:ind w:firstLine="397"/>
        <w:jc w:val="both"/>
        <w:bidi/>
      </w:pPr>
      <w:r>
        <w:t>أما التطبيق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الصحابي والمأثور، ثم تنتقل إلى الشهادة والتفسير والتطبيق.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الصحابي والشهادة، أو بين المأثور والتفسير.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الصحابي والمأثور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الشهادة لا يتغير بثبوت الخبر، بينما يتغير فهم التفسير أو التطبيق.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قول الصحابي قد يكون شهادة على النزول أو تفسيراً أو تطبيقاً، وتختلف الحجية باختلاف الصيغة والقرائن. وتُطبق مع حفظ الفروق بين الصحابي والمأثور والشهادة،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الحادي عشر: أسباب النزول والقراءات والوقف والابتداء</w:t>
      </w:r>
    </w:p>
    <w:p>
      <w:pPr>
        <w:spacing w:line="283" w:lineRule="auto" w:after="80"/>
        <w:ind w:firstLine="397"/>
        <w:jc w:val="both"/>
        <w:bidi/>
      </w:pPr>
      <w:r>
        <w:t>يفتتح هذا الباب بالسؤال: كيف تتفاعل القراءات والوقف والابتداء مع خبر النزول؟ وتقوم فرضيته على أن القراءة الثابتة جزء من النص المتلقى، وخبر النزول لا يختار قراءةً لمجرد موافقته لها، والوقف يظل وجهاً تفسيرياً يحتاج إلى قرينة.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تتفاعل القراءات والوقف والابتداء مع خبر النزول؟ وتنطلق فرضيته من أن القراءة الثابتة جزء من النص المتلقى، وخبر النزول لا يختار قراءةً لمجرد موافقته لها، والوقف يظل وجهاً تفسيرياً يحتاج إلى قرينة.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القراءة والرواية والوقف.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الابتداء والتوجيه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القراءة والرواية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الوقف أو الابتداء أو التوجيه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القراءة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الرواية عن الوقف: الأول قد يصف ظرفاً أو حدثاً مجاوراً، أما الثاني فقد يكون أول فرد طُبق عليه العموم. ويختلف كلاهما عن الابتداء إذا كان الأخير تفسيراً تعليمياً أو استنباطاً متأخراً.</w:t>
      </w:r>
    </w:p>
    <w:p>
      <w:pPr>
        <w:spacing w:line="283" w:lineRule="auto" w:after="80"/>
        <w:ind w:firstLine="397"/>
        <w:jc w:val="both"/>
        <w:bidi/>
      </w:pPr>
      <w:r>
        <w:t>أما التوجيه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القراءة والرواية، ثم تنتقل إلى الوقف والابتداء والتوجيه.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القراءة والوقف، أو بين الرواية والابتداء.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القراءة والرواية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الوقف لا يتغير بثبوت الخبر، بينما يتغير فهم الابتداء أو التوجيه.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القراءة الثابتة جزء من النص المتلقى، وخبر النزول لا يختار قراءةً لمجرد موافقته لها، والوقف يظل وجهاً تفسيرياً يحتاج إلى قرينة. وتُطبق مع حفظ الفروق بين القراءة والرواية والوقف،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الثاني عشر: أسباب النزول والمحكم والمتشابه والترجيح</w:t>
      </w:r>
    </w:p>
    <w:p>
      <w:pPr>
        <w:spacing w:line="283" w:lineRule="auto" w:after="80"/>
        <w:ind w:firstLine="397"/>
        <w:jc w:val="both"/>
        <w:bidi/>
      </w:pPr>
      <w:r>
        <w:t>يفتتح هذا الباب بالسؤال: كيف يُستخدم خبر النزول في المحكم والمتشابه والترجيح؟ وتقوم فرضيته على أن الخبر الصحيح قد يرفع احتمالاً أو يحدد مقاماً لكنه لا يجعل المتشابه محكماً إذا خالف شبكة القرآن.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يُستخدم خبر النزول في المحكم والمتشابه والترجيح؟ وتنطلق فرضيته من أن الخبر الصحيح قد يرفع احتمالاً أو يحدد مقاماً لكنه لا يجعل المتشابه محكماً إذا خالف شبكة القرآن.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المحكم والمتشابه والترجيح.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القرينة والتوقف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المحكم والمتشابه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الترجيح أو القرينة أو التوقف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المحكم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المتشابه عن الترجيح: الأول قد يصف ظرفاً أو حدثاً مجاوراً، أما الثاني فقد يكون أول فرد طُبق عليه العموم. ويختلف كلاهما عن القرينة إذا كان الأخير تفسيراً تعليمياً أو استنباطاً متأخراً.</w:t>
      </w:r>
    </w:p>
    <w:p>
      <w:pPr>
        <w:spacing w:line="283" w:lineRule="auto" w:after="80"/>
        <w:ind w:firstLine="397"/>
        <w:jc w:val="both"/>
        <w:bidi/>
      </w:pPr>
      <w:r>
        <w:t>أما التوقف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المحكم والمتشابه، ثم تنتقل إلى الترجيح والقرينة والتوقف.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المحكم والترجيح، أو بين المتشابه والقرينة.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المحكم والمتشابه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الترجيح لا يتغير بثبوت الخبر، بينما يتغير فهم القرينة أو التوقف.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الخبر الصحيح قد يرفع احتمالاً أو يحدد مقاماً لكنه لا يجعل المتشابه محكماً إذا خالف شبكة القرآن. وتُطبق مع حفظ الفروق بين المحكم والمتشابه والترجيح،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الثالث عشر: أسباب النزول في العقيدة والتشريع والحقوق</w:t>
      </w:r>
    </w:p>
    <w:p>
      <w:pPr>
        <w:spacing w:line="283" w:lineRule="auto" w:after="80"/>
        <w:ind w:firstLine="397"/>
        <w:jc w:val="both"/>
        <w:bidi/>
      </w:pPr>
      <w:r>
        <w:t>يفتتح هذا الباب بالسؤال: ما حدود توظيف أسباب النزول في العقيدة والتشريع والحقوق؟ وتقوم فرضيته على أن كلما ارتفع أثر الحكم ارتفعت عتبة التحقق، ولا تنشأ عقيدة أو عقوبة من خبر نزول محتمل أو من واقعة خاصة بلا دلالة عامة.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حدود توظيف أسباب النزول في العقيدة والتشريع والحقوق؟ وتنطلق فرضيته من أن كلما ارتفع أثر الحكم ارتفعت عتبة التحقق، ولا تنشأ عقيدة أو عقوبة من خبر نزول محتمل أو من واقعة خاصة بلا دلالة عامة.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العقيدة والتشريع والحقوق.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العقوبة والعتبة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العقيدة والتشريع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الحقوق أو العقوبة أو العتبة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العقيدة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التشريع عن الحقوق: الأول قد يصف ظرفاً أو حدثاً مجاوراً، أما الثاني فقد يكون أول فرد طُبق عليه العموم. ويختلف كلاهما عن العقوبة إذا كان الأخير تفسيراً تعليمياً أو استنباطاً متأخراً.</w:t>
      </w:r>
    </w:p>
    <w:p>
      <w:pPr>
        <w:spacing w:line="283" w:lineRule="auto" w:after="80"/>
        <w:ind w:firstLine="397"/>
        <w:jc w:val="both"/>
        <w:bidi/>
      </w:pPr>
      <w:r>
        <w:t>أما العتبة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العقيدة والتشريع، ثم تنتقل إلى الحقوق والعقوبة والعتبة.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العقيدة والحقوق، أو بين التشريع والعقوبة.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العقيدة والتشريع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الحقوق لا يتغير بثبوت الخبر، بينما يتغير فهم العقوبة أو العتبة.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كلما ارتفع أثر الحكم ارتفعت عتبة التحقق، ولا تنشأ عقيدة أو عقوبة من خبر نزول محتمل أو من واقعة خاصة بلا دلالة عامة. وتُطبق مع حفظ الفروق بين العقيدة والتشريع والحقوق،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الرابع عشر: المذاهب والمدارس ومخاطر التوظيف التاريخي</w:t>
      </w:r>
    </w:p>
    <w:p>
      <w:pPr>
        <w:spacing w:line="283" w:lineRule="auto" w:after="80"/>
        <w:ind w:firstLine="397"/>
        <w:jc w:val="both"/>
        <w:bidi/>
      </w:pPr>
      <w:r>
        <w:t>يفتتح هذا الباب بالسؤال: كيف تتعامل المدارس والمذاهب مع روايات أسباب النزول؟ وتقوم فرضيته على أن التراث مادة للمقارنة لا حاكماً فوق النص؛ ويجب كشف الانتقاء المذهبي وتطبيق المعيار نفسه على الروايات الموافقة والمخالفة.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تتعامل المدارس والمذاهب مع روايات أسباب النزول؟ وتنطلق فرضيته من أن التراث مادة للمقارنة لا حاكماً فوق النص؛ ويجب كشف الانتقاء المذهبي وتطبيق المعيار نفسه على الروايات الموافقة والمخالفة.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المذهب والمدرسة والانتقاء.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التراث والمعيار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المذهب والمدرسة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الانتقاء أو التراث أو المعيار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المذهب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المدرسة عن الانتقاء: الأول قد يصف ظرفاً أو حدثاً مجاوراً، أما الثاني فقد يكون أول فرد طُبق عليه العموم. ويختلف كلاهما عن التراث إذا كان الأخير تفسيراً تعليمياً أو استنباطاً متأخراً.</w:t>
      </w:r>
    </w:p>
    <w:p>
      <w:pPr>
        <w:spacing w:line="283" w:lineRule="auto" w:after="80"/>
        <w:ind w:firstLine="397"/>
        <w:jc w:val="both"/>
        <w:bidi/>
      </w:pPr>
      <w:r>
        <w:t>أما المعيار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المذهب والمدرسة، ثم تنتقل إلى الانتقاء والتراث والمعيار.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المذهب والانتقاء، أو بين المدرسة والتراث.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المذهب والمدرسة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الانتقاء لا يتغير بثبوت الخبر، بينما يتغير فهم التراث أو المعيار.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التراث مادة للمقارنة لا حاكماً فوق النص؛ ويجب كشف الانتقاء المذهبي وتطبيق المعيار نفسه على الروايات الموافقة والمخالفة. وتُطبق مع حفظ الفروق بين المذهب والمدرسة والانتقاء،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الخامس عشر: مغالطات أسباب النزول وحدود الاستدلال</w:t>
      </w:r>
    </w:p>
    <w:p>
      <w:pPr>
        <w:spacing w:line="283" w:lineRule="auto" w:after="80"/>
        <w:ind w:firstLine="397"/>
        <w:jc w:val="both"/>
        <w:bidi/>
      </w:pPr>
      <w:r>
        <w:t>يفتتح هذا الباب بالسؤال: ما أشهر مغالطات أسباب النزول؟ وتقوم فرضيته على أن تنشأ المغالطات من تحويل كل رواية إلى سبب، ومن حصر العموم، ومن اختلاق التاريخ، ومن استعمال الشهرة بديلاً عن التحقق.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أشهر مغالطات أسباب النزول؟ وتنطلق فرضيته من أن تنشأ المغالطات من تحويل كل رواية إلى سبب، ومن حصر العموم، ومن اختلاق التاريخ، ومن استعمال الشهرة بديلاً عن التحقق.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المغالطة والشهرة والحصر.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الاختلاق والتعميم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المغالطة والشهرة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الحصر أو الاختلاق أو التعميم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المغالطة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الشهرة عن الحصر: الأول قد يصف ظرفاً أو حدثاً مجاوراً، أما الثاني فقد يكون أول فرد طُبق عليه العموم. ويختلف كلاهما عن الاختلاق إذا كان الأخير تفسيراً تعليمياً أو استنباطاً متأخراً.</w:t>
      </w:r>
    </w:p>
    <w:p>
      <w:pPr>
        <w:spacing w:line="283" w:lineRule="auto" w:after="80"/>
        <w:ind w:firstLine="397"/>
        <w:jc w:val="both"/>
        <w:bidi/>
      </w:pPr>
      <w:r>
        <w:t>أما التعميم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المغالطة والشهرة، ثم تنتقل إلى الحصر والاختلاق والتعميم.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المغالطة والحصر، أو بين الشهرة والاختلاق.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المغالطة والشهرة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الحصر لا يتغير بثبوت الخبر، بينما يتغير فهم الاختلاق أو التعميم.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تنشأ المغالطات من تحويل كل رواية إلى سبب، ومن حصر العموم، ومن اختلاق التاريخ، ومن استعمال الشهرة بديلاً عن التحقق. وتُطبق مع حفظ الفروق بين المغالطة والشهرة والحصر،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السادس عشر: الخوارزمية والمصفوفة الحاسوبية لخبر النزول</w:t>
      </w:r>
    </w:p>
    <w:p>
      <w:pPr>
        <w:spacing w:line="283" w:lineRule="auto" w:after="80"/>
        <w:ind w:firstLine="397"/>
        <w:jc w:val="both"/>
        <w:bidi/>
      </w:pPr>
      <w:r>
        <w:t>يفتتح هذا الباب بالسؤال: كيف تُمثل أسباب النزول في خوارزمية ومدونة قابلة للتدقيق؟ وتقوم فرضيته على أن تحتاج كل دعوى نزول إلى معرف ومصدر وطريق ومتن ونوع علاقة ودرجة ثقة وأثر تفسيري وإصدار.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تُمثل أسباب النزول في خوارزمية ومدونة قابلة للتدقيق؟ وتنطلق فرضيته من أن تحتاج كل دعوى نزول إلى معرف ومصدر وطريق ومتن ونوع علاقة ودرجة ثقة وأثر تفسيري وإصدار.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الخوارزمية والمدونة والمعرف.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الثقة والإصدار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الخوارزمية والمدونة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المعرف أو الثقة أو الإصدار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الخوارزمية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المدونة عن المعرف: الأول قد يصف ظرفاً أو حدثاً مجاوراً، أما الثاني فقد يكون أول فرد طُبق عليه العموم. ويختلف كلاهما عن الثقة إذا كان الأخير تفسيراً تعليمياً أو استنباطاً متأخراً.</w:t>
      </w:r>
    </w:p>
    <w:p>
      <w:pPr>
        <w:spacing w:line="283" w:lineRule="auto" w:after="80"/>
        <w:ind w:firstLine="397"/>
        <w:jc w:val="both"/>
        <w:bidi/>
      </w:pPr>
      <w:r>
        <w:t>أما الإصدار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الخوارزمية والمدونة، ثم تنتقل إلى المعرف والثقة والإصدار.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الخوارزمية والمعرف، أو بين المدونة والثقة.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الخوارزمية والمدونة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المعرف لا يتغير بثبوت الخبر، بينما يتغير فهم الثقة أو الإصدار.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تحتاج كل دعوى نزول إلى معرف ومصدر وطريق ومتن ونوع علاقة ودرجة ثقة وأثر تفسيري وإصدار. وتُطبق مع حفظ الفروق بين الخوارزمية والمدونة والمعرف،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السابع عشر: المختبرات التطبيقية في الآيات والقضايا الكبرى</w:t>
      </w:r>
    </w:p>
    <w:p>
      <w:pPr>
        <w:spacing w:line="283" w:lineRule="auto" w:after="80"/>
        <w:ind w:firstLine="397"/>
        <w:jc w:val="both"/>
        <w:bidi/>
      </w:pPr>
      <w:r>
        <w:t>يفتتح هذا الباب بالسؤال: كيف يُختبر المنهج في الآيات المختلف في أسباب نزولها؟ وتقوم فرضيته على أن المختبر لا يبدأ بترجيح الرواية المشهورة بل بالنص والمدونة وجميع الروايات والقرائن والفرضيات المنافسة.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يُختبر المنهج في الآيات المختلف في أسباب نزولها؟ وتنطلق فرضيته من أن المختبر لا يبدأ بترجيح الرواية المشهورة بل بالنص والمدونة وجميع الروايات والقرائن والفرضيات المنافسة.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المختبر والفرضية والمقارنة.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النتيجة والحدود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المختبر والفرضية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المقارنة أو النتيجة أو الحدود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المختبر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الفرضية عن المقارنة: الأول قد يصف ظرفاً أو حدثاً مجاوراً، أما الثاني فقد يكون أول فرد طُبق عليه العموم. ويختلف كلاهما عن النتيجة إذا كان الأخير تفسيراً تعليمياً أو استنباطاً متأخراً.</w:t>
      </w:r>
    </w:p>
    <w:p>
      <w:pPr>
        <w:spacing w:line="283" w:lineRule="auto" w:after="80"/>
        <w:ind w:firstLine="397"/>
        <w:jc w:val="both"/>
        <w:bidi/>
      </w:pPr>
      <w:r>
        <w:t>أما الحدود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المختبر والفرضية، ثم تنتقل إلى المقارنة والنتيجة والحدود.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المختبر والمقارنة، أو بين الفرضية والنتيجة.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المختبر والفرضية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المقارنة لا يتغير بثبوت الخبر، بينما يتغير فهم النتيجة أو الحدود.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المختبر لا يبدأ بترجيح الرواية المشهورة بل بالنص والمدونة وجميع الروايات والقرائن والفرضيات المنافسة. وتُطبق مع حفظ الفروق بين المختبر والفرضية والمقارنة،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الباب الثامن عشر: النظرية الجامعة وميثاق الباحث في أسباب النزول</w:t>
      </w:r>
    </w:p>
    <w:p>
      <w:pPr>
        <w:spacing w:line="283" w:lineRule="auto" w:after="80"/>
        <w:ind w:firstLine="397"/>
        <w:jc w:val="both"/>
        <w:bidi/>
      </w:pPr>
      <w:r>
        <w:t>يفتتح هذا الباب بالسؤال: ما النظرية الجامعة وميثاق الباحث؟ وتقوم فرضيته على أن الحاكمية للقرآن، والخبر النزولي شاهد تاريخي بقدر ثبوته، والباحث ملزم بالقسط والتبين وإعلان حدود العلم.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النظرية الجامعة وميثاق الباحث؟ وتنطلق فرضيته من أن الحاكمية للقرآن، والخبر النزولي شاهد تاريخي بقدر ثبوته، والباحث ملزم بالقسط والتبين وإعلان حدود العلم. ولا يُقبل هذا التعريف أو الحكم لمجرد شيوعه في كتب علوم القرآن، بل يُختبر بقدرته على تفسير النصوص والروايات المتعارضة وحفظ الفرق بين الوحي والتاريخ.</w:t>
      </w:r>
    </w:p>
    <w:p>
      <w:pPr>
        <w:spacing w:line="283" w:lineRule="auto" w:after="80"/>
        <w:ind w:firstLine="397"/>
        <w:jc w:val="both"/>
        <w:bidi/>
      </w:pPr>
      <w:r>
        <w:t>تتركز المسألة في مفاهيم النظرية والميثاق والقسط. ويجب تحديد وظيفة كل واحد قبل الانتقال إلى النتيجة؛ لأن الخلط بينها هو المصدر الأكبر لتضخم سلطة الخبر التاريخي في التفسير.</w:t>
      </w:r>
    </w:p>
    <w:p>
      <w:pPr>
        <w:spacing w:line="283" w:lineRule="auto" w:after="80"/>
        <w:ind w:firstLine="397"/>
        <w:jc w:val="both"/>
        <w:bidi/>
      </w:pPr>
      <w:r>
        <w:t>يُفصل كذلك بين التبين والتوقف بحسب المجال، وتُذكر الحالات التي يلتقيان فيها والحالات التي يفترقان فيها. ولا يُحول التقارب العملي إلى ترادف اصطلاحي.</w:t>
      </w:r>
    </w:p>
    <w:p>
      <w:pPr>
        <w:spacing w:line="283" w:lineRule="auto" w:after="80"/>
        <w:ind w:firstLine="397"/>
        <w:jc w:val="both"/>
        <w:bidi/>
      </w:pPr>
      <w:r>
        <w:t>لا يراد من هذا الباب إنكار القيمة التاريخية لأسباب النزول، بل ضبطها حتى تكون شاهداً على البيان لا بديلاً عنه. ولذلك يعلن الباب منذ البداية ما الذي يستطيع الخبر إثباته وما الذي لا يستطيع.</w:t>
      </w:r>
    </w:p>
    <w:p>
      <w:pPr>
        <w:spacing w:line="283" w:lineRule="auto" w:after="80"/>
        <w:ind w:firstLine="397"/>
        <w:jc w:val="both"/>
        <w:bidi/>
      </w:pPr>
      <w:r>
        <w:t>تُصاغ الفرضية بطريقة قابلة للاختبار: إذا ظهر خبر صحيح مستقل يخالفها أو نموذج قرآني لا تفسره وجب تقييد النظرية أو تعديلها، ولا تُحمى القاعدة بتأويل كل مثال مخالف.</w:t>
      </w:r>
    </w:p>
    <w:p>
      <w:pPr>
        <w:pStyle w:val="Heading2"/>
        <w:spacing w:line="283" w:lineRule="auto" w:after="120"/>
        <w:jc w:val="right"/>
        <w:keepNext/>
        <w:bidi/>
      </w:pPr>
      <w:r>
        <w:t>المدونة والمصادر</w:t>
      </w:r>
    </w:p>
    <w:p>
      <w:pPr>
        <w:spacing w:line="283" w:lineRule="auto" w:after="80"/>
        <w:ind w:firstLine="397"/>
        <w:jc w:val="both"/>
        <w:bidi/>
      </w:pPr>
      <w:r>
        <w:t>تبدأ المدونة بالقرآن نفسه، ثم تجمع أخبار النظرية والميثاق من المصنفات المبكرة والمتأخرة، مع تسجيل مصدر كل رواية ولفظها وطريقها وتاريخ تدوينها. ويُمنع الاقتصار على كتب أسباب النزول المختصة؛ لأنها انتقت من مادة أوسع.</w:t>
      </w:r>
    </w:p>
    <w:p>
      <w:pPr>
        <w:spacing w:line="283" w:lineRule="auto" w:after="80"/>
        <w:ind w:firstLine="397"/>
        <w:jc w:val="both"/>
        <w:bidi/>
      </w:pPr>
      <w:r>
        <w:t>تُبحث الروايات بألفاظ مثل «نزلت في» و«سبب نزول» و«كان كذا فنزل» و«سألوا فنزل» و«فأنزل الله»، ثم تُفحص الصيغ التي قد تدل على القسط أو التبين أو التوقف من غير تصريح صريح بالسبب.</w:t>
      </w:r>
    </w:p>
    <w:p>
      <w:pPr>
        <w:spacing w:line="283" w:lineRule="auto" w:after="80"/>
        <w:ind w:firstLine="397"/>
        <w:jc w:val="both"/>
        <w:bidi/>
      </w:pPr>
      <w:r>
        <w:t>تُحفظ جميع الصيغ المتعارضة في السجل، ولا تُدمج قبل النقد. وقد يكشف اختلاف الصياغة أن روايةً تصف سبباً وأخرى تصف تطبيقاً، أو أن القصة الواحدة أعيد تفسيرها في طبقة لاحقة.</w:t>
      </w:r>
    </w:p>
    <w:p>
      <w:pPr>
        <w:spacing w:line="283" w:lineRule="auto" w:after="80"/>
        <w:ind w:firstLine="397"/>
        <w:jc w:val="both"/>
        <w:bidi/>
      </w:pPr>
      <w:r>
        <w:t>تشمل المدونة الآيات السابقة واللاحقة والمقطع والسورة والتصريف في المواضع النظيرة، حتى لا تُعالج رواية النزول خارج النص الذي تزعم تفسيره. كما تُجمع القراءات ذات الأثر إذا كانت ثابتة.</w:t>
      </w:r>
    </w:p>
    <w:p>
      <w:pPr>
        <w:spacing w:line="283" w:lineRule="auto" w:after="80"/>
        <w:ind w:firstLine="397"/>
        <w:jc w:val="both"/>
        <w:bidi/>
      </w:pPr>
      <w:r>
        <w:t>يُسجل أيضاً ما لم يُعثر عليه: النسخ غير المفحوصة، والطرق المفقودة، والروايات التي وصلتنا بلا إسناد، والاختلاف في نسبة الكتاب. ويُعد إعلان هذا النقص جزءاً من التحقق لا هامشاً توثيقياً.</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النظرية من داخل استعمالات الروايات لا من العنوان الاصطلاحي وحده. فقد استُعملت عبارات النزول تاريخياً بمعانٍ أوسع من «السبب المباشر»، ولذلك يلزم تصنيف الصيغة قبل الحكم.</w:t>
      </w:r>
    </w:p>
    <w:p>
      <w:pPr>
        <w:spacing w:line="283" w:lineRule="auto" w:after="80"/>
        <w:ind w:firstLine="397"/>
        <w:jc w:val="both"/>
        <w:bidi/>
      </w:pPr>
      <w:r>
        <w:t>يختلف الميثاق عن القسط: الأول قد يصف ظرفاً أو حدثاً مجاوراً، أما الثاني فقد يكون أول فرد طُبق عليه العموم. ويختلف كلاهما عن التبين إذا كان الأخير تفسيراً تعليمياً أو استنباطاً متأخراً.</w:t>
      </w:r>
    </w:p>
    <w:p>
      <w:pPr>
        <w:spacing w:line="283" w:lineRule="auto" w:after="80"/>
        <w:ind w:firstLine="397"/>
        <w:jc w:val="both"/>
        <w:bidi/>
      </w:pPr>
      <w:r>
        <w:t>أما التوقف فيُحدد أثره في الدلالة لا قيمته التاريخية فقط. وقد يكون الخبر صحيحاً لكنه لا يضيف شيئاً إلى معنى الآية، فيبقى شاهداً على التلقي أو التطبيق لا سبباً حاكماً.</w:t>
      </w:r>
    </w:p>
    <w:p>
      <w:pPr>
        <w:spacing w:line="283" w:lineRule="auto" w:after="80"/>
        <w:ind w:firstLine="397"/>
        <w:jc w:val="both"/>
        <w:bidi/>
      </w:pPr>
      <w:r>
        <w:t>ينبغي أن يكون التعريف التشغيلي مانعاً من التوسع: لا يكفي أن تذكر الرواية شخصاً أو واقعةً مع آية حتى تُقبل في طبقة السبب. كما لا يكفي أن يكون الخبر مناسباً للمعنى كي يثبت زمنياً.</w:t>
      </w:r>
    </w:p>
    <w:p>
      <w:pPr>
        <w:spacing w:line="283" w:lineRule="auto" w:after="80"/>
        <w:ind w:firstLine="397"/>
        <w:jc w:val="both"/>
        <w:bidi/>
      </w:pPr>
      <w:r>
        <w:t>يُحفظ المعنى التاريخي للمصطلحات في حقل مستقل عن التعريف البياني؛ حتى لا يُنسب إلى المتقدمين ما لم يقصدوه، ولا يصبح التجديد الاصطلاحي محواً لتاريخ العلم.</w:t>
      </w:r>
    </w:p>
    <w:p>
      <w:pPr>
        <w:pStyle w:val="Heading2"/>
        <w:spacing w:line="283" w:lineRule="auto" w:after="120"/>
        <w:jc w:val="right"/>
        <w:keepNext/>
        <w:bidi/>
      </w:pPr>
      <w:r>
        <w:t>منهج التحقق والترجيح</w:t>
      </w:r>
    </w:p>
    <w:p>
      <w:pPr>
        <w:spacing w:line="283" w:lineRule="auto" w:after="80"/>
        <w:ind w:firstLine="397"/>
        <w:jc w:val="both"/>
        <w:bidi/>
      </w:pPr>
      <w:r>
        <w:t>تبدأ عملية التحقق بفحص النظرية والميثاق، ثم تنتقل إلى القسط والتبين والتوقف. ولا يجوز البدء بأثر الرواية في التفسير ثم العودة لتقوية طريقها لأن النتيجة أعجبت الباحث.</w:t>
      </w:r>
    </w:p>
    <w:p>
      <w:pPr>
        <w:spacing w:line="283" w:lineRule="auto" w:after="80"/>
        <w:ind w:firstLine="397"/>
        <w:jc w:val="both"/>
        <w:bidi/>
      </w:pPr>
      <w:r>
        <w:t>يُجمع الإسناد إلى شبكة كتب ورواة لا إلى سلسلة أسماء فقط، ويُبحث احتمال الأصل المشترك والاختصار والإرسال والتدليس، ثم تُقارن ألفاظ المتن ومواقع ظهور الزيادات.</w:t>
      </w:r>
    </w:p>
    <w:p>
      <w:pPr>
        <w:spacing w:line="283" w:lineRule="auto" w:after="80"/>
        <w:ind w:firstLine="397"/>
        <w:jc w:val="both"/>
        <w:bidi/>
      </w:pPr>
      <w:r>
        <w:t>بعد تقرير درجة الثبوت يُسأل عن نوع العلاقة بالآية: هل الرواية تصرح بأن الآية أنزلت جواباً عن الواقعة، أم تقول «نزلت في» بمعنى الانطباق، أم تروي حدثاً وقع زمن التلاوة؟ ويؤثر الفرق مباشرةً في الحجية التفسيرية.</w:t>
      </w:r>
    </w:p>
    <w:p>
      <w:pPr>
        <w:spacing w:line="283" w:lineRule="auto" w:after="80"/>
        <w:ind w:firstLine="397"/>
        <w:jc w:val="both"/>
        <w:bidi/>
      </w:pPr>
      <w:r>
        <w:t>تُقارن القراءة التي تعتمد الخبر بقراءة مستقلة تنطلق من النص والسياق وحدهما. فإذا لم يتغير المعنى، عُد الخبر مؤيداً تاريخياً. وإذا تغير، وجب بيان القرينة التي تسمح له بهذا الأثر.</w:t>
      </w:r>
    </w:p>
    <w:p>
      <w:pPr>
        <w:spacing w:line="283" w:lineRule="auto" w:after="80"/>
        <w:ind w:firstLine="397"/>
        <w:jc w:val="both"/>
        <w:bidi/>
      </w:pPr>
      <w:r>
        <w:t>يُعتمد الترجيح المركب لا الدرجة الواحدة: ثبوت الطريق، وسلامة المتن، وقوة الصيغة النزولية، واتساقها مع السياق، وعدم معارضتها بمحكم أقوى. وقد يثبت بعضها ويبقى بعضها محتملاً.</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أول مواطن الخلل تحويل الشهرة إلى تواتر، ولا سيما حين تكرر المصنفات المتأخرة روايةً ترجع إلى أصل واحد. ويعالج المنهج ذلك بإعادة بناء الأصول المشتركة لا بعدد الكتب الناقلة.</w:t>
      </w:r>
    </w:p>
    <w:p>
      <w:pPr>
        <w:spacing w:line="283" w:lineRule="auto" w:after="80"/>
        <w:ind w:firstLine="397"/>
        <w:jc w:val="both"/>
        <w:bidi/>
      </w:pPr>
      <w:r>
        <w:t>ومن الخلل الخلط بين النظرية والقسط، أو بين الميثاق والتبين. ويؤدي ذلك إلى حصر معنى عام في شخص أو واقعة، أو إلى رفع تطبيق صحابي إلى مقام سبب النزول.</w:t>
      </w:r>
    </w:p>
    <w:p>
      <w:pPr>
        <w:spacing w:line="283" w:lineRule="auto" w:after="80"/>
        <w:ind w:firstLine="397"/>
        <w:jc w:val="both"/>
        <w:bidi/>
      </w:pPr>
      <w:r>
        <w:t>تُبنى فرضية منافسة لكل حالة مشكلة: ربما كان الخبر تطبيقاً، أو تفسيراً بالمثال، أو قصةً أُلحقت بالآية، أو سبباً لنزول مقطع آخر، أو حدثاً مستقلاً اتحد موضوعه مع الآية.</w:t>
      </w:r>
    </w:p>
    <w:p>
      <w:pPr>
        <w:spacing w:line="283" w:lineRule="auto" w:after="80"/>
        <w:ind w:firstLine="397"/>
        <w:jc w:val="both"/>
        <w:bidi/>
      </w:pPr>
      <w:r>
        <w:t>من المخاطر كذلك استعمال التاريخ الحديث لإعادة بناء سبب لم تنقله المصادر، ثم التعامل مع هذا البناء بوصفه حقيقة. ويجب وصف هذا النوع بأنه فرضية سياقية، لا سبب نزول.</w:t>
      </w:r>
    </w:p>
    <w:p>
      <w:pPr>
        <w:spacing w:line="283" w:lineRule="auto" w:after="80"/>
        <w:ind w:firstLine="397"/>
        <w:jc w:val="both"/>
        <w:bidi/>
      </w:pPr>
      <w:r>
        <w:t>إذا بقيت الروايات المتعارضة متقاربةً في القوة، أو تعذر تحديد نوع العلاقة، يكون التوقف هو الحكم العلمي. ولا يُملأ الفراغ لأن كتب التفسير اعتادت ذكر سبب لكل آية.</w:t>
      </w:r>
    </w:p>
    <w:p>
      <w:pPr>
        <w:pStyle w:val="Heading2"/>
        <w:spacing w:line="283" w:lineRule="auto" w:after="120"/>
        <w:jc w:val="right"/>
        <w:keepNext/>
        <w:bidi/>
      </w:pPr>
      <w:r>
        <w:t>التطبيق والآثار</w:t>
      </w:r>
    </w:p>
    <w:p>
      <w:pPr>
        <w:spacing w:line="283" w:lineRule="auto" w:after="80"/>
        <w:ind w:firstLine="397"/>
        <w:jc w:val="both"/>
        <w:bidi/>
      </w:pPr>
      <w:r>
        <w:t>يُقاس أثر الخبر في تفسير النظرية والميثاق على طبقات: تعيين المخاطب، وتحديد الواقعة، وكشف معنى لفظ، وتفسير ضمير، وتقييد مقام، وبيان ترتيب زمني. ولا تنتقل فائدة في طبقة إلى طبقة أخرى آلياً.</w:t>
      </w:r>
    </w:p>
    <w:p>
      <w:pPr>
        <w:spacing w:line="283" w:lineRule="auto" w:after="80"/>
        <w:ind w:firstLine="397"/>
        <w:jc w:val="both"/>
        <w:bidi/>
      </w:pPr>
      <w:r>
        <w:t>قد يظهر في التطبيق أن القسط لا يتغير بثبوت الخبر، بينما يتغير فهم التبين أو التوقف. ولذلك يجب أن تكون الخلاصة متعددة الأبعاد، لا عبارة «السبب صحيح إذن التفسير صحيح».</w:t>
      </w:r>
    </w:p>
    <w:p>
      <w:pPr>
        <w:spacing w:line="283" w:lineRule="auto" w:after="80"/>
        <w:ind w:firstLine="397"/>
        <w:jc w:val="both"/>
        <w:bidi/>
      </w:pPr>
      <w:r>
        <w:t>في الأحكام عالية الأثر، كالعقيدة والدماء والأعراض والسلطة، يُرفع معيار التحقق. فالخبر التاريخي المحتمل لا يكفي لإحداث تقييد كبير أو إنشاء إلزام لا ينهض به النص.</w:t>
      </w:r>
    </w:p>
    <w:p>
      <w:pPr>
        <w:spacing w:line="283" w:lineRule="auto" w:after="80"/>
        <w:ind w:firstLine="397"/>
        <w:jc w:val="both"/>
        <w:bidi/>
      </w:pPr>
      <w:r>
        <w:t>تُراجع آثار التفسير بعد تنزيله على الفقه أو العقيدة أو التاريخ؛ فإذا أدى استعمال خبر نزول ضعيف إلى بناء حكم واسع، وجب إعادة فتح الملف لا حماية النتيجة باسم التراث.</w:t>
      </w:r>
    </w:p>
    <w:p>
      <w:pPr>
        <w:spacing w:line="283" w:lineRule="auto" w:after="80"/>
        <w:ind w:firstLine="397"/>
        <w:jc w:val="both"/>
        <w:bidi/>
      </w:pPr>
      <w:r>
        <w:t>يُذكر في التقرير ما الذي يثبت حتى لو سقط خبر النزول، وما الذي يعتمد عليه وحده، وما القراءة البديلة الممكنة. وهذا يبين مقدار اعتماد التفسير على الرواية الخارجية.</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الحاكمية للقرآن، والخبر النزولي شاهد تاريخي بقدر ثبوته، والباحث ملزم بالقسط والتبين وإعلان حدود العلم. وتُطبق مع حفظ الفروق بين النظرية والميثاق والقسط، فلا تتحول إلى شعار عام يرفض الأخبار أو يقبلها بالجملة.</w:t>
      </w:r>
    </w:p>
    <w:p>
      <w:pPr>
        <w:spacing w:line="283" w:lineRule="auto" w:after="80"/>
        <w:ind w:firstLine="397"/>
        <w:jc w:val="both"/>
        <w:bidi/>
      </w:pPr>
      <w:r>
        <w:t>القاعدة الثانية: النص والسياق الداخلي ومحكمات القرآن هي المرجع في تقرير الدلالة، وخبر النزول قرينة خارجية بقدر ثبوتها ووظيفتها.</w:t>
      </w:r>
    </w:p>
    <w:p>
      <w:pPr>
        <w:spacing w:line="283" w:lineRule="auto" w:after="80"/>
        <w:ind w:firstLine="397"/>
        <w:jc w:val="both"/>
        <w:bidi/>
      </w:pPr>
      <w:r>
        <w:t>القاعدة الثالثة: عبارة «نزلت في» لا تكفي وحدها لإثبات السببية؛ إذ قد تدل في الاستعمال على المصداق أو التطبيق أو التفسير. ويجب تحليل الصيغة والسياق والمصدر.</w:t>
      </w:r>
    </w:p>
    <w:p>
      <w:pPr>
        <w:spacing w:line="283" w:lineRule="auto" w:after="80"/>
        <w:ind w:firstLine="397"/>
        <w:jc w:val="both"/>
        <w:bidi/>
      </w:pPr>
      <w:r>
        <w:t>القاعدة الرابعة: خصوص الواقعة لا يحصر عموم اللفظ إلا إذا كشف النص نفسه أو مجموع القرائن قيداً في المناط أو المخاطب أو الحكم.</w:t>
      </w:r>
    </w:p>
    <w:p>
      <w:pPr>
        <w:spacing w:line="283" w:lineRule="auto" w:after="80"/>
        <w:ind w:firstLine="397"/>
        <w:jc w:val="both"/>
        <w:bidi/>
      </w:pPr>
      <w:r>
        <w:t>القاعدة الخامسة: كل ملف سبب نزول يحمل درجةً وإصداراً وسجلاً للروايات المخالفة، ويبقى قابلاً للمراجعة عند ظهور نسخة أو طريق أو تحليل أقوى.</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ماذا يقول القرآن قبل الخبر؟</w:t>
            </w:r>
          </w:p>
        </w:tc>
        <w:tc>
          <w:tcPr>
            <w:tcW w:type="dxa" w:w="2635"/>
            <w:vAlign w:val="center"/>
          </w:tcPr>
          <w:p>
            <w:pPr>
              <w:spacing w:line="283" w:lineRule="auto" w:after="0"/>
              <w:jc w:val="right"/>
              <w:bidi/>
            </w:pPr>
            <w:r>
              <w:rPr>
                <w:sz w:val="20"/>
              </w:rPr>
              <w:t>سياق داخلي</w:t>
            </w:r>
          </w:p>
        </w:tc>
      </w:tr>
      <w:tr>
        <w:trPr>
          <w:cantSplit/>
        </w:trPr>
        <w:tc>
          <w:tcPr>
            <w:tcW w:type="dxa" w:w="2635"/>
            <w:vAlign w:val="center"/>
          </w:tcPr>
          <w:p>
            <w:pPr>
              <w:spacing w:line="283" w:lineRule="auto" w:after="0"/>
              <w:jc w:val="right"/>
              <w:bidi/>
            </w:pPr>
            <w:r>
              <w:rPr>
                <w:sz w:val="20"/>
              </w:rPr>
              <w:t>الرواية</w:t>
            </w:r>
          </w:p>
        </w:tc>
        <w:tc>
          <w:tcPr>
            <w:tcW w:type="dxa" w:w="2635"/>
            <w:vAlign w:val="center"/>
          </w:tcPr>
          <w:p>
            <w:pPr>
              <w:spacing w:line="283" w:lineRule="auto" w:after="0"/>
              <w:jc w:val="right"/>
              <w:bidi/>
            </w:pPr>
            <w:r>
              <w:rPr>
                <w:sz w:val="20"/>
              </w:rPr>
              <w:t>ما صيغة الخبر وطريقه؟</w:t>
            </w:r>
          </w:p>
        </w:tc>
        <w:tc>
          <w:tcPr>
            <w:tcW w:type="dxa" w:w="2635"/>
            <w:vAlign w:val="center"/>
          </w:tcPr>
          <w:p>
            <w:pPr>
              <w:spacing w:line="283" w:lineRule="auto" w:after="0"/>
              <w:jc w:val="right"/>
              <w:bidi/>
            </w:pPr>
            <w:r>
              <w:rPr>
                <w:sz w:val="20"/>
              </w:rPr>
              <w:t>درجة ثبوت</w:t>
            </w:r>
          </w:p>
        </w:tc>
      </w:tr>
      <w:tr>
        <w:trPr>
          <w:cantSplit/>
        </w:trPr>
        <w:tc>
          <w:tcPr>
            <w:tcW w:type="dxa" w:w="2635"/>
            <w:vAlign w:val="center"/>
          </w:tcPr>
          <w:p>
            <w:pPr>
              <w:spacing w:line="283" w:lineRule="auto" w:after="0"/>
              <w:jc w:val="right"/>
              <w:bidi/>
            </w:pPr>
            <w:r>
              <w:rPr>
                <w:sz w:val="20"/>
              </w:rPr>
              <w:t>النوع</w:t>
            </w:r>
          </w:p>
        </w:tc>
        <w:tc>
          <w:tcPr>
            <w:tcW w:type="dxa" w:w="2635"/>
            <w:vAlign w:val="center"/>
          </w:tcPr>
          <w:p>
            <w:pPr>
              <w:spacing w:line="283" w:lineRule="auto" w:after="0"/>
              <w:jc w:val="right"/>
              <w:bidi/>
            </w:pPr>
            <w:r>
              <w:rPr>
                <w:sz w:val="20"/>
              </w:rPr>
              <w:t>سبب أم مناسبة أم مصداق؟</w:t>
            </w:r>
          </w:p>
        </w:tc>
        <w:tc>
          <w:tcPr>
            <w:tcW w:type="dxa" w:w="2635"/>
            <w:vAlign w:val="center"/>
          </w:tcPr>
          <w:p>
            <w:pPr>
              <w:spacing w:line="283" w:lineRule="auto" w:after="0"/>
              <w:jc w:val="right"/>
              <w:bidi/>
            </w:pPr>
            <w:r>
              <w:rPr>
                <w:sz w:val="20"/>
              </w:rPr>
              <w:t>تصنيف وظيفي</w:t>
            </w:r>
          </w:p>
        </w:tc>
      </w:tr>
      <w:tr>
        <w:trPr>
          <w:cantSplit/>
        </w:trPr>
        <w:tc>
          <w:tcPr>
            <w:tcW w:type="dxa" w:w="2635"/>
            <w:vAlign w:val="center"/>
          </w:tcPr>
          <w:p>
            <w:pPr>
              <w:spacing w:line="283" w:lineRule="auto" w:after="0"/>
              <w:jc w:val="right"/>
              <w:bidi/>
            </w:pPr>
            <w:r>
              <w:rPr>
                <w:sz w:val="20"/>
              </w:rPr>
              <w:t>الأثر</w:t>
            </w:r>
          </w:p>
        </w:tc>
        <w:tc>
          <w:tcPr>
            <w:tcW w:type="dxa" w:w="2635"/>
            <w:vAlign w:val="center"/>
          </w:tcPr>
          <w:p>
            <w:pPr>
              <w:spacing w:line="283" w:lineRule="auto" w:after="0"/>
              <w:jc w:val="right"/>
              <w:bidi/>
            </w:pPr>
            <w:r>
              <w:rPr>
                <w:sz w:val="20"/>
              </w:rPr>
              <w:t>ما الذي يضيفه الخبر؟</w:t>
            </w:r>
          </w:p>
        </w:tc>
        <w:tc>
          <w:tcPr>
            <w:tcW w:type="dxa" w:w="2635"/>
            <w:vAlign w:val="center"/>
          </w:tcPr>
          <w:p>
            <w:pPr>
              <w:spacing w:line="283" w:lineRule="auto" w:after="0"/>
              <w:jc w:val="right"/>
              <w:bidi/>
            </w:pPr>
            <w:r>
              <w:rPr>
                <w:sz w:val="20"/>
              </w:rPr>
              <w:t>أثر تفسيري محدد</w:t>
            </w:r>
          </w:p>
        </w:tc>
      </w:tr>
      <w:tr>
        <w:trPr>
          <w:cantSplit/>
        </w:trPr>
        <w:tc>
          <w:tcPr>
            <w:tcW w:type="dxa" w:w="2635"/>
            <w:vAlign w:val="center"/>
          </w:tcPr>
          <w:p>
            <w:pPr>
              <w:spacing w:line="283" w:lineRule="auto" w:after="0"/>
              <w:jc w:val="right"/>
              <w:bidi/>
            </w:pPr>
            <w:r>
              <w:rPr>
                <w:sz w:val="20"/>
              </w:rPr>
              <w:t>البديل</w:t>
            </w:r>
          </w:p>
        </w:tc>
        <w:tc>
          <w:tcPr>
            <w:tcW w:type="dxa" w:w="2635"/>
            <w:vAlign w:val="center"/>
          </w:tcPr>
          <w:p>
            <w:pPr>
              <w:spacing w:line="283" w:lineRule="auto" w:after="0"/>
              <w:jc w:val="right"/>
              <w:bidi/>
            </w:pPr>
            <w:r>
              <w:rPr>
                <w:sz w:val="20"/>
              </w:rPr>
              <w:t>هل توجد قراءة بلا الخبر؟</w:t>
            </w:r>
          </w:p>
        </w:tc>
        <w:tc>
          <w:tcPr>
            <w:tcW w:type="dxa" w:w="2635"/>
            <w:vAlign w:val="center"/>
          </w:tcPr>
          <w:p>
            <w:pPr>
              <w:spacing w:line="283" w:lineRule="auto" w:after="0"/>
              <w:jc w:val="right"/>
              <w:bidi/>
            </w:pPr>
            <w:r>
              <w:rPr>
                <w:sz w:val="20"/>
              </w:rPr>
              <w:t>فرضية منافسة</w:t>
            </w:r>
          </w:p>
        </w:tc>
      </w:tr>
      <w:tr>
        <w:trPr>
          <w:cantSplit/>
        </w:trPr>
        <w:tc>
          <w:tcPr>
            <w:tcW w:type="dxa" w:w="2635"/>
            <w:vAlign w:val="center"/>
          </w:tcPr>
          <w:p>
            <w:pPr>
              <w:spacing w:line="283" w:lineRule="auto" w:after="0"/>
              <w:jc w:val="right"/>
              <w:bidi/>
            </w:pPr>
            <w:r>
              <w:rPr>
                <w:sz w:val="20"/>
              </w:rPr>
              <w:t>الحكم</w:t>
            </w:r>
          </w:p>
        </w:tc>
        <w:tc>
          <w:tcPr>
            <w:tcW w:type="dxa" w:w="2635"/>
            <w:vAlign w:val="center"/>
          </w:tcPr>
          <w:p>
            <w:pPr>
              <w:spacing w:line="283" w:lineRule="auto" w:after="0"/>
              <w:jc w:val="right"/>
              <w:bidi/>
            </w:pPr>
            <w:r>
              <w:rPr>
                <w:sz w:val="20"/>
              </w:rPr>
              <w:t>ما الدرجة والحدود؟</w:t>
            </w:r>
          </w:p>
        </w:tc>
        <w:tc>
          <w:tcPr>
            <w:tcW w:type="dxa" w:w="2635"/>
            <w:vAlign w:val="center"/>
          </w:tcPr>
          <w:p>
            <w:pPr>
              <w:spacing w:line="283" w:lineRule="auto" w:after="0"/>
              <w:jc w:val="right"/>
              <w:bidi/>
            </w:pPr>
            <w:r>
              <w:rPr>
                <w:sz w:val="20"/>
              </w:rPr>
              <w:t>إصدار قابل للمراجعة</w:t>
            </w:r>
          </w:p>
        </w:tc>
      </w:tr>
    </w:tbl>
    <w:p>
      <w:pPr>
        <w:spacing w:after="20"/>
      </w:pPr>
    </w:p>
    <w:p>
      <w:r>
        <w:br w:type="page"/>
      </w:r>
    </w:p>
    <w:p>
      <w:pPr>
        <w:pStyle w:val="Heading1"/>
        <w:spacing w:line="283" w:lineRule="auto" w:after="120"/>
        <w:jc w:val="right"/>
        <w:keepNext/>
        <w:bidi/>
      </w:pPr>
      <w:r>
        <w:t>الملحق الأول: الأنواع الإثنا عشر لخبر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النوع</w:t>
            </w:r>
          </w:p>
        </w:tc>
        <w:tc>
          <w:tcPr>
            <w:tcW w:type="dxa" w:w="3952"/>
            <w:vAlign w:val="center"/>
          </w:tcPr>
          <w:p>
            <w:pPr>
              <w:spacing w:line="283" w:lineRule="auto" w:after="0"/>
              <w:jc w:val="center"/>
              <w:bidi/>
            </w:pPr>
            <w:r>
              <w:rPr>
                <w:b/>
                <w:sz w:val="20"/>
              </w:rPr>
              <w:t>التعريف</w:t>
            </w:r>
          </w:p>
        </w:tc>
      </w:tr>
      <w:tr>
        <w:trPr>
          <w:cantSplit/>
        </w:trPr>
        <w:tc>
          <w:tcPr>
            <w:tcW w:type="dxa" w:w="3952"/>
            <w:vAlign w:val="center"/>
          </w:tcPr>
          <w:p>
            <w:pPr>
              <w:spacing w:line="283" w:lineRule="auto" w:after="0"/>
              <w:jc w:val="right"/>
              <w:bidi/>
            </w:pPr>
            <w:r>
              <w:rPr>
                <w:sz w:val="20"/>
              </w:rPr>
              <w:t>سبب مباشر مصرح</w:t>
            </w:r>
          </w:p>
        </w:tc>
        <w:tc>
          <w:tcPr>
            <w:tcW w:type="dxa" w:w="3952"/>
            <w:vAlign w:val="center"/>
          </w:tcPr>
          <w:p>
            <w:pPr>
              <w:spacing w:line="283" w:lineRule="auto" w:after="0"/>
              <w:jc w:val="right"/>
              <w:bidi/>
            </w:pPr>
            <w:r>
              <w:rPr>
                <w:sz w:val="20"/>
              </w:rPr>
              <w:t>واقعة أو سؤال يصرح الراوي بأن الآية نزلت عقبه أو جواباً عنه.</w:t>
            </w:r>
          </w:p>
        </w:tc>
      </w:tr>
      <w:tr>
        <w:trPr>
          <w:cantSplit/>
        </w:trPr>
        <w:tc>
          <w:tcPr>
            <w:tcW w:type="dxa" w:w="3952"/>
            <w:vAlign w:val="center"/>
          </w:tcPr>
          <w:p>
            <w:pPr>
              <w:spacing w:line="283" w:lineRule="auto" w:after="0"/>
              <w:jc w:val="right"/>
              <w:bidi/>
            </w:pPr>
            <w:r>
              <w:rPr>
                <w:sz w:val="20"/>
              </w:rPr>
              <w:t>سؤال وجواب</w:t>
            </w:r>
          </w:p>
        </w:tc>
        <w:tc>
          <w:tcPr>
            <w:tcW w:type="dxa" w:w="3952"/>
            <w:vAlign w:val="center"/>
          </w:tcPr>
          <w:p>
            <w:pPr>
              <w:spacing w:line="283" w:lineRule="auto" w:after="0"/>
              <w:jc w:val="right"/>
              <w:bidi/>
            </w:pPr>
            <w:r>
              <w:rPr>
                <w:sz w:val="20"/>
              </w:rPr>
              <w:t>خطاب من نوع يسألونك أو يستفتونك مع خبر يحدد السؤال التاريخي.</w:t>
            </w:r>
          </w:p>
        </w:tc>
      </w:tr>
      <w:tr>
        <w:trPr>
          <w:cantSplit/>
        </w:trPr>
        <w:tc>
          <w:tcPr>
            <w:tcW w:type="dxa" w:w="3952"/>
            <w:vAlign w:val="center"/>
          </w:tcPr>
          <w:p>
            <w:pPr>
              <w:spacing w:line="283" w:lineRule="auto" w:after="0"/>
              <w:jc w:val="right"/>
              <w:bidi/>
            </w:pPr>
            <w:r>
              <w:rPr>
                <w:sz w:val="20"/>
              </w:rPr>
              <w:t>حادثة تشريعية</w:t>
            </w:r>
          </w:p>
        </w:tc>
        <w:tc>
          <w:tcPr>
            <w:tcW w:type="dxa" w:w="3952"/>
            <w:vAlign w:val="center"/>
          </w:tcPr>
          <w:p>
            <w:pPr>
              <w:spacing w:line="283" w:lineRule="auto" w:after="0"/>
              <w:jc w:val="right"/>
              <w:bidi/>
            </w:pPr>
            <w:r>
              <w:rPr>
                <w:sz w:val="20"/>
              </w:rPr>
              <w:t>واقعة ظهرت فيها حاجة إلى حكم فنزل النص بشأنها.</w:t>
            </w:r>
          </w:p>
        </w:tc>
      </w:tr>
      <w:tr>
        <w:trPr>
          <w:cantSplit/>
        </w:trPr>
        <w:tc>
          <w:tcPr>
            <w:tcW w:type="dxa" w:w="3952"/>
            <w:vAlign w:val="center"/>
          </w:tcPr>
          <w:p>
            <w:pPr>
              <w:spacing w:line="283" w:lineRule="auto" w:after="0"/>
              <w:jc w:val="right"/>
              <w:bidi/>
            </w:pPr>
            <w:r>
              <w:rPr>
                <w:sz w:val="20"/>
              </w:rPr>
              <w:t>حادثة تصحيحية</w:t>
            </w:r>
          </w:p>
        </w:tc>
        <w:tc>
          <w:tcPr>
            <w:tcW w:type="dxa" w:w="3952"/>
            <w:vAlign w:val="center"/>
          </w:tcPr>
          <w:p>
            <w:pPr>
              <w:spacing w:line="283" w:lineRule="auto" w:after="0"/>
              <w:jc w:val="right"/>
              <w:bidi/>
            </w:pPr>
            <w:r>
              <w:rPr>
                <w:sz w:val="20"/>
              </w:rPr>
              <w:t>فعل أو قول صححه الوحي أو عاتبه.</w:t>
            </w:r>
          </w:p>
        </w:tc>
      </w:tr>
      <w:tr>
        <w:trPr>
          <w:cantSplit/>
        </w:trPr>
        <w:tc>
          <w:tcPr>
            <w:tcW w:type="dxa" w:w="3952"/>
            <w:vAlign w:val="center"/>
          </w:tcPr>
          <w:p>
            <w:pPr>
              <w:spacing w:line="283" w:lineRule="auto" w:after="0"/>
              <w:jc w:val="right"/>
              <w:bidi/>
            </w:pPr>
            <w:r>
              <w:rPr>
                <w:sz w:val="20"/>
              </w:rPr>
              <w:t>مناسبة زمنية</w:t>
            </w:r>
          </w:p>
        </w:tc>
        <w:tc>
          <w:tcPr>
            <w:tcW w:type="dxa" w:w="3952"/>
            <w:vAlign w:val="center"/>
          </w:tcPr>
          <w:p>
            <w:pPr>
              <w:spacing w:line="283" w:lineRule="auto" w:after="0"/>
              <w:jc w:val="right"/>
              <w:bidi/>
            </w:pPr>
            <w:r>
              <w:rPr>
                <w:sz w:val="20"/>
              </w:rPr>
              <w:t>حدث وقع قريباً من النزول من غير دليل سببية.</w:t>
            </w:r>
          </w:p>
        </w:tc>
      </w:tr>
      <w:tr>
        <w:trPr>
          <w:cantSplit/>
        </w:trPr>
        <w:tc>
          <w:tcPr>
            <w:tcW w:type="dxa" w:w="3952"/>
            <w:vAlign w:val="center"/>
          </w:tcPr>
          <w:p>
            <w:pPr>
              <w:spacing w:line="283" w:lineRule="auto" w:after="0"/>
              <w:jc w:val="right"/>
              <w:bidi/>
            </w:pPr>
            <w:r>
              <w:rPr>
                <w:sz w:val="20"/>
              </w:rPr>
              <w:t>مصداق أول</w:t>
            </w:r>
          </w:p>
        </w:tc>
        <w:tc>
          <w:tcPr>
            <w:tcW w:type="dxa" w:w="3952"/>
            <w:vAlign w:val="center"/>
          </w:tcPr>
          <w:p>
            <w:pPr>
              <w:spacing w:line="283" w:lineRule="auto" w:after="0"/>
              <w:jc w:val="right"/>
              <w:bidi/>
            </w:pPr>
            <w:r>
              <w:rPr>
                <w:sz w:val="20"/>
              </w:rPr>
              <w:t>شخص أو واقعة انطبق عليها النص أول مرة.</w:t>
            </w:r>
          </w:p>
        </w:tc>
      </w:tr>
      <w:tr>
        <w:trPr>
          <w:cantSplit/>
        </w:trPr>
        <w:tc>
          <w:tcPr>
            <w:tcW w:type="dxa" w:w="3952"/>
            <w:vAlign w:val="center"/>
          </w:tcPr>
          <w:p>
            <w:pPr>
              <w:spacing w:line="283" w:lineRule="auto" w:after="0"/>
              <w:jc w:val="right"/>
              <w:bidi/>
            </w:pPr>
            <w:r>
              <w:rPr>
                <w:sz w:val="20"/>
              </w:rPr>
              <w:t>تطبيق نبوي</w:t>
            </w:r>
          </w:p>
        </w:tc>
        <w:tc>
          <w:tcPr>
            <w:tcW w:type="dxa" w:w="3952"/>
            <w:vAlign w:val="center"/>
          </w:tcPr>
          <w:p>
            <w:pPr>
              <w:spacing w:line="283" w:lineRule="auto" w:after="0"/>
              <w:jc w:val="right"/>
              <w:bidi/>
            </w:pPr>
            <w:r>
              <w:rPr>
                <w:sz w:val="20"/>
              </w:rPr>
              <w:t>استعمال النبي للآية في واقعة بعد نزولها.</w:t>
            </w:r>
          </w:p>
        </w:tc>
      </w:tr>
      <w:tr>
        <w:trPr>
          <w:cantSplit/>
        </w:trPr>
        <w:tc>
          <w:tcPr>
            <w:tcW w:type="dxa" w:w="3952"/>
            <w:vAlign w:val="center"/>
          </w:tcPr>
          <w:p>
            <w:pPr>
              <w:spacing w:line="283" w:lineRule="auto" w:after="0"/>
              <w:jc w:val="right"/>
              <w:bidi/>
            </w:pPr>
            <w:r>
              <w:rPr>
                <w:sz w:val="20"/>
              </w:rPr>
              <w:t>تطبيق صحابي</w:t>
            </w:r>
          </w:p>
        </w:tc>
        <w:tc>
          <w:tcPr>
            <w:tcW w:type="dxa" w:w="3952"/>
            <w:vAlign w:val="center"/>
          </w:tcPr>
          <w:p>
            <w:pPr>
              <w:spacing w:line="283" w:lineRule="auto" w:after="0"/>
              <w:jc w:val="right"/>
              <w:bidi/>
            </w:pPr>
            <w:r>
              <w:rPr>
                <w:sz w:val="20"/>
              </w:rPr>
              <w:t>إدخال الصحابي واقعةً في عموم الآية.</w:t>
            </w:r>
          </w:p>
        </w:tc>
      </w:tr>
      <w:tr>
        <w:trPr>
          <w:cantSplit/>
        </w:trPr>
        <w:tc>
          <w:tcPr>
            <w:tcW w:type="dxa" w:w="3952"/>
            <w:vAlign w:val="center"/>
          </w:tcPr>
          <w:p>
            <w:pPr>
              <w:spacing w:line="283" w:lineRule="auto" w:after="0"/>
              <w:jc w:val="right"/>
              <w:bidi/>
            </w:pPr>
            <w:r>
              <w:rPr>
                <w:sz w:val="20"/>
              </w:rPr>
              <w:t>تفسير بالمثال</w:t>
            </w:r>
          </w:p>
        </w:tc>
        <w:tc>
          <w:tcPr>
            <w:tcW w:type="dxa" w:w="3952"/>
            <w:vAlign w:val="center"/>
          </w:tcPr>
          <w:p>
            <w:pPr>
              <w:spacing w:line="283" w:lineRule="auto" w:after="0"/>
              <w:jc w:val="right"/>
              <w:bidi/>
            </w:pPr>
            <w:r>
              <w:rPr>
                <w:sz w:val="20"/>
              </w:rPr>
              <w:t>ذكر شخص أو جماعة لتقريب المعنى.</w:t>
            </w:r>
          </w:p>
        </w:tc>
      </w:tr>
      <w:tr>
        <w:trPr>
          <w:cantSplit/>
        </w:trPr>
        <w:tc>
          <w:tcPr>
            <w:tcW w:type="dxa" w:w="3952"/>
            <w:vAlign w:val="center"/>
          </w:tcPr>
          <w:p>
            <w:pPr>
              <w:spacing w:line="283" w:lineRule="auto" w:after="0"/>
              <w:jc w:val="right"/>
              <w:bidi/>
            </w:pPr>
            <w:r>
              <w:rPr>
                <w:sz w:val="20"/>
              </w:rPr>
              <w:t>قصة شارحة</w:t>
            </w:r>
          </w:p>
        </w:tc>
        <w:tc>
          <w:tcPr>
            <w:tcW w:type="dxa" w:w="3952"/>
            <w:vAlign w:val="center"/>
          </w:tcPr>
          <w:p>
            <w:pPr>
              <w:spacing w:line="283" w:lineRule="auto" w:after="0"/>
              <w:jc w:val="right"/>
              <w:bidi/>
            </w:pPr>
            <w:r>
              <w:rPr>
                <w:sz w:val="20"/>
              </w:rPr>
              <w:t>خبر تاريخي يساعد على فهم البيئة ولا يثبت سبباً.</w:t>
            </w:r>
          </w:p>
        </w:tc>
      </w:tr>
      <w:tr>
        <w:trPr>
          <w:cantSplit/>
        </w:trPr>
        <w:tc>
          <w:tcPr>
            <w:tcW w:type="dxa" w:w="3952"/>
            <w:vAlign w:val="center"/>
          </w:tcPr>
          <w:p>
            <w:pPr>
              <w:spacing w:line="283" w:lineRule="auto" w:after="0"/>
              <w:jc w:val="right"/>
              <w:bidi/>
            </w:pPr>
            <w:r>
              <w:rPr>
                <w:sz w:val="20"/>
              </w:rPr>
              <w:t>ربط مذهبي لاحق</w:t>
            </w:r>
          </w:p>
        </w:tc>
        <w:tc>
          <w:tcPr>
            <w:tcW w:type="dxa" w:w="3952"/>
            <w:vAlign w:val="center"/>
          </w:tcPr>
          <w:p>
            <w:pPr>
              <w:spacing w:line="283" w:lineRule="auto" w:after="0"/>
              <w:jc w:val="right"/>
              <w:bidi/>
            </w:pPr>
            <w:r>
              <w:rPr>
                <w:sz w:val="20"/>
              </w:rPr>
              <w:t>إلحاق الآية بشخص أو حدث في سياق جدلي متأخر.</w:t>
            </w:r>
          </w:p>
        </w:tc>
      </w:tr>
      <w:tr>
        <w:trPr>
          <w:cantSplit/>
        </w:trPr>
        <w:tc>
          <w:tcPr>
            <w:tcW w:type="dxa" w:w="3952"/>
            <w:vAlign w:val="center"/>
          </w:tcPr>
          <w:p>
            <w:pPr>
              <w:spacing w:line="283" w:lineRule="auto" w:after="0"/>
              <w:jc w:val="right"/>
              <w:bidi/>
            </w:pPr>
            <w:r>
              <w:rPr>
                <w:sz w:val="20"/>
              </w:rPr>
              <w:t>خبر متوقف فيه</w:t>
            </w:r>
          </w:p>
        </w:tc>
        <w:tc>
          <w:tcPr>
            <w:tcW w:type="dxa" w:w="3952"/>
            <w:vAlign w:val="center"/>
          </w:tcPr>
          <w:p>
            <w:pPr>
              <w:spacing w:line="283" w:lineRule="auto" w:after="0"/>
              <w:jc w:val="right"/>
              <w:bidi/>
            </w:pPr>
            <w:r>
              <w:rPr>
                <w:sz w:val="20"/>
              </w:rPr>
              <w:t>مادة لا تسمح بتعيين نوع العلاقة بدرجة كافية.</w:t>
            </w:r>
          </w:p>
        </w:tc>
      </w:tr>
    </w:tbl>
    <w:p>
      <w:pPr>
        <w:spacing w:after="20"/>
      </w:pPr>
    </w:p>
    <w:p>
      <w:pPr>
        <w:pStyle w:val="Heading2"/>
        <w:spacing w:line="283" w:lineRule="auto" w:after="120"/>
        <w:jc w:val="right"/>
        <w:keepNext/>
        <w:bidi/>
      </w:pPr>
      <w:r>
        <w:t>سبب مباشر مصرح</w:t>
      </w:r>
    </w:p>
    <w:p>
      <w:pPr>
        <w:spacing w:line="283" w:lineRule="auto" w:after="80"/>
        <w:ind w:firstLine="397"/>
        <w:jc w:val="both"/>
        <w:bidi/>
      </w:pPr>
      <w:r>
        <w:t>واقعة أو سؤال يصرح الراوي بأن الآية نزلت عقبه أو جواباً عنه.</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سؤال وجواب</w:t>
      </w:r>
    </w:p>
    <w:p>
      <w:pPr>
        <w:spacing w:line="283" w:lineRule="auto" w:after="80"/>
        <w:ind w:firstLine="397"/>
        <w:jc w:val="both"/>
        <w:bidi/>
      </w:pPr>
      <w:r>
        <w:t>خطاب من نوع يسألونك أو يستفتونك مع خبر يحدد السؤال التاريخي.</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حادثة تشريعية</w:t>
      </w:r>
    </w:p>
    <w:p>
      <w:pPr>
        <w:spacing w:line="283" w:lineRule="auto" w:after="80"/>
        <w:ind w:firstLine="397"/>
        <w:jc w:val="both"/>
        <w:bidi/>
      </w:pPr>
      <w:r>
        <w:t>واقعة ظهرت فيها حاجة إلى حكم فنزل النص بشأنها.</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حادثة تصحيحية</w:t>
      </w:r>
    </w:p>
    <w:p>
      <w:pPr>
        <w:spacing w:line="283" w:lineRule="auto" w:after="80"/>
        <w:ind w:firstLine="397"/>
        <w:jc w:val="both"/>
        <w:bidi/>
      </w:pPr>
      <w:r>
        <w:t>فعل أو قول صححه الوحي أو عاتبه.</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مناسبة زمنية</w:t>
      </w:r>
    </w:p>
    <w:p>
      <w:pPr>
        <w:spacing w:line="283" w:lineRule="auto" w:after="80"/>
        <w:ind w:firstLine="397"/>
        <w:jc w:val="both"/>
        <w:bidi/>
      </w:pPr>
      <w:r>
        <w:t>حدث وقع قريباً من النزول من غير دليل سببية.</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مصداق أول</w:t>
      </w:r>
    </w:p>
    <w:p>
      <w:pPr>
        <w:spacing w:line="283" w:lineRule="auto" w:after="80"/>
        <w:ind w:firstLine="397"/>
        <w:jc w:val="both"/>
        <w:bidi/>
      </w:pPr>
      <w:r>
        <w:t>شخص أو واقعة انطبق عليها النص أول مرة.</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تطبيق نبوي</w:t>
      </w:r>
    </w:p>
    <w:p>
      <w:pPr>
        <w:spacing w:line="283" w:lineRule="auto" w:after="80"/>
        <w:ind w:firstLine="397"/>
        <w:jc w:val="both"/>
        <w:bidi/>
      </w:pPr>
      <w:r>
        <w:t>استعمال النبي للآية في واقعة بعد نزولها.</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تطبيق صحابي</w:t>
      </w:r>
    </w:p>
    <w:p>
      <w:pPr>
        <w:spacing w:line="283" w:lineRule="auto" w:after="80"/>
        <w:ind w:firstLine="397"/>
        <w:jc w:val="both"/>
        <w:bidi/>
      </w:pPr>
      <w:r>
        <w:t>إدخال الصحابي واقعةً في عموم الآية.</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تفسير بالمثال</w:t>
      </w:r>
    </w:p>
    <w:p>
      <w:pPr>
        <w:spacing w:line="283" w:lineRule="auto" w:after="80"/>
        <w:ind w:firstLine="397"/>
        <w:jc w:val="both"/>
        <w:bidi/>
      </w:pPr>
      <w:r>
        <w:t>ذكر شخص أو جماعة لتقريب المعنى.</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قصة شارحة</w:t>
      </w:r>
    </w:p>
    <w:p>
      <w:pPr>
        <w:spacing w:line="283" w:lineRule="auto" w:after="80"/>
        <w:ind w:firstLine="397"/>
        <w:jc w:val="both"/>
        <w:bidi/>
      </w:pPr>
      <w:r>
        <w:t>خبر تاريخي يساعد على فهم البيئة ولا يثبت سبباً.</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ربط مذهبي لاحق</w:t>
      </w:r>
    </w:p>
    <w:p>
      <w:pPr>
        <w:spacing w:line="283" w:lineRule="auto" w:after="80"/>
        <w:ind w:firstLine="397"/>
        <w:jc w:val="both"/>
        <w:bidi/>
      </w:pPr>
      <w:r>
        <w:t>إلحاق الآية بشخص أو حدث في سياق جدلي متأخر.</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pPr>
        <w:pStyle w:val="Heading2"/>
        <w:spacing w:line="283" w:lineRule="auto" w:after="120"/>
        <w:jc w:val="right"/>
        <w:keepNext/>
        <w:bidi/>
      </w:pPr>
      <w:r>
        <w:t>خبر متوقف فيه</w:t>
      </w:r>
    </w:p>
    <w:p>
      <w:pPr>
        <w:spacing w:line="283" w:lineRule="auto" w:after="80"/>
        <w:ind w:firstLine="397"/>
        <w:jc w:val="both"/>
        <w:bidi/>
      </w:pPr>
      <w:r>
        <w:t>مادة لا تسمح بتعيين نوع العلاقة بدرجة كافية.</w:t>
      </w:r>
    </w:p>
    <w:p>
      <w:pPr>
        <w:spacing w:line="283" w:lineRule="auto" w:after="80"/>
        <w:ind w:firstLine="397"/>
        <w:jc w:val="both"/>
        <w:bidi/>
      </w:pPr>
      <w:r>
        <w:t>تُفحص الصيغة النقلية والمصدر والتاريخ والسياق قبل اعتماد التصنيف، ويُسمح بتعدد التصنيف إذا كانت الرواية مركبة أو إذا اختلفت صيغها بين المصادر.</w:t>
      </w:r>
    </w:p>
    <w:p>
      <w:pPr>
        <w:spacing w:line="283" w:lineRule="auto" w:after="80"/>
        <w:ind w:firstLine="397"/>
        <w:jc w:val="both"/>
        <w:bidi/>
      </w:pPr>
      <w:r>
        <w:t>لا تنتقل الحجية التفسيرية من مجرد وجود علاقة تاريخية؛ بل يُسأل ما الذي يتغير في فهم الآية إذا صح هذا النوع، وما الذي يبقى ثابتاً من النص بدونه.</w:t>
      </w:r>
    </w:p>
    <w:p>
      <w:r>
        <w:br w:type="page"/>
      </w:r>
    </w:p>
    <w:p>
      <w:pPr>
        <w:pStyle w:val="Heading1"/>
        <w:spacing w:line="283" w:lineRule="auto" w:after="120"/>
        <w:jc w:val="right"/>
        <w:keepNext/>
        <w:bidi/>
      </w:pPr>
      <w:r>
        <w:t>الملحق الثاني: مراتب الثبوت والحجية في خبر النزول</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الدرجة</w:t>
            </w:r>
          </w:p>
        </w:tc>
        <w:tc>
          <w:tcPr>
            <w:tcW w:type="dxa" w:w="2635"/>
            <w:vAlign w:val="center"/>
          </w:tcPr>
          <w:p>
            <w:pPr>
              <w:spacing w:line="283" w:lineRule="auto" w:after="0"/>
              <w:jc w:val="center"/>
              <w:bidi/>
            </w:pPr>
            <w:r>
              <w:rPr>
                <w:b/>
                <w:sz w:val="20"/>
              </w:rPr>
              <w:t>الحد</w:t>
            </w:r>
          </w:p>
        </w:tc>
        <w:tc>
          <w:tcPr>
            <w:tcW w:type="dxa" w:w="2635"/>
            <w:vAlign w:val="center"/>
          </w:tcPr>
          <w:p>
            <w:pPr>
              <w:spacing w:line="283" w:lineRule="auto" w:after="0"/>
              <w:jc w:val="center"/>
              <w:bidi/>
            </w:pPr>
            <w:r>
              <w:rPr>
                <w:b/>
                <w:sz w:val="20"/>
              </w:rPr>
              <w:t>الأثر التفسيري</w:t>
            </w:r>
          </w:p>
        </w:tc>
      </w:tr>
      <w:tr>
        <w:trPr>
          <w:cantSplit/>
        </w:trPr>
        <w:tc>
          <w:tcPr>
            <w:tcW w:type="dxa" w:w="2635"/>
            <w:vAlign w:val="center"/>
          </w:tcPr>
          <w:p>
            <w:pPr>
              <w:spacing w:line="283" w:lineRule="auto" w:after="0"/>
              <w:jc w:val="right"/>
              <w:bidi/>
            </w:pPr>
            <w:r>
              <w:rPr>
                <w:sz w:val="20"/>
              </w:rPr>
              <w:t>ثابت صريح</w:t>
            </w:r>
          </w:p>
        </w:tc>
        <w:tc>
          <w:tcPr>
            <w:tcW w:type="dxa" w:w="2635"/>
            <w:vAlign w:val="center"/>
          </w:tcPr>
          <w:p>
            <w:pPr>
              <w:spacing w:line="283" w:lineRule="auto" w:after="0"/>
              <w:jc w:val="right"/>
              <w:bidi/>
            </w:pPr>
            <w:r>
              <w:rPr>
                <w:sz w:val="20"/>
              </w:rPr>
              <w:t>طريق قوي وصيغة صريحة وقرائن متسقة مع السياق.</w:t>
            </w:r>
          </w:p>
        </w:tc>
        <w:tc>
          <w:tcPr>
            <w:tcW w:type="dxa" w:w="2635"/>
            <w:vAlign w:val="center"/>
          </w:tcPr>
          <w:p>
            <w:pPr>
              <w:spacing w:line="283" w:lineRule="auto" w:after="0"/>
              <w:jc w:val="right"/>
              <w:bidi/>
            </w:pPr>
            <w:r>
              <w:rPr>
                <w:sz w:val="20"/>
              </w:rPr>
              <w:t>يستعمل في بيان المقام بقدر النص.</w:t>
            </w:r>
          </w:p>
        </w:tc>
      </w:tr>
      <w:tr>
        <w:trPr>
          <w:cantSplit/>
        </w:trPr>
        <w:tc>
          <w:tcPr>
            <w:tcW w:type="dxa" w:w="2635"/>
            <w:vAlign w:val="center"/>
          </w:tcPr>
          <w:p>
            <w:pPr>
              <w:spacing w:line="283" w:lineRule="auto" w:after="0"/>
              <w:jc w:val="right"/>
              <w:bidi/>
            </w:pPr>
            <w:r>
              <w:rPr>
                <w:sz w:val="20"/>
              </w:rPr>
              <w:t>راجح</w:t>
            </w:r>
          </w:p>
        </w:tc>
        <w:tc>
          <w:tcPr>
            <w:tcW w:type="dxa" w:w="2635"/>
            <w:vAlign w:val="center"/>
          </w:tcPr>
          <w:p>
            <w:pPr>
              <w:spacing w:line="283" w:lineRule="auto" w:after="0"/>
              <w:jc w:val="right"/>
              <w:bidi/>
            </w:pPr>
            <w:r>
              <w:rPr>
                <w:sz w:val="20"/>
              </w:rPr>
              <w:t>قرائن متعددة مع بقاء احتمال معتبر.</w:t>
            </w:r>
          </w:p>
        </w:tc>
        <w:tc>
          <w:tcPr>
            <w:tcW w:type="dxa" w:w="2635"/>
            <w:vAlign w:val="center"/>
          </w:tcPr>
          <w:p>
            <w:pPr>
              <w:spacing w:line="283" w:lineRule="auto" w:after="0"/>
              <w:jc w:val="right"/>
              <w:bidi/>
            </w:pPr>
            <w:r>
              <w:rPr>
                <w:sz w:val="20"/>
              </w:rPr>
              <w:t>يُذكر بلفظ الترجيح ولا يُحصر به المعنى.</w:t>
            </w:r>
          </w:p>
        </w:tc>
      </w:tr>
      <w:tr>
        <w:trPr>
          <w:cantSplit/>
        </w:trPr>
        <w:tc>
          <w:tcPr>
            <w:tcW w:type="dxa" w:w="2635"/>
            <w:vAlign w:val="center"/>
          </w:tcPr>
          <w:p>
            <w:pPr>
              <w:spacing w:line="283" w:lineRule="auto" w:after="0"/>
              <w:jc w:val="right"/>
              <w:bidi/>
            </w:pPr>
            <w:r>
              <w:rPr>
                <w:sz w:val="20"/>
              </w:rPr>
              <w:t>محتمل</w:t>
            </w:r>
          </w:p>
        </w:tc>
        <w:tc>
          <w:tcPr>
            <w:tcW w:type="dxa" w:w="2635"/>
            <w:vAlign w:val="center"/>
          </w:tcPr>
          <w:p>
            <w:pPr>
              <w:spacing w:line="283" w:lineRule="auto" w:after="0"/>
              <w:jc w:val="right"/>
              <w:bidi/>
            </w:pPr>
            <w:r>
              <w:rPr>
                <w:sz w:val="20"/>
              </w:rPr>
              <w:t>خبر له أصل أو طريق لكنه لا يكفي للحسم.</w:t>
            </w:r>
          </w:p>
        </w:tc>
        <w:tc>
          <w:tcPr>
            <w:tcW w:type="dxa" w:w="2635"/>
            <w:vAlign w:val="center"/>
          </w:tcPr>
          <w:p>
            <w:pPr>
              <w:spacing w:line="283" w:lineRule="auto" w:after="0"/>
              <w:jc w:val="right"/>
              <w:bidi/>
            </w:pPr>
            <w:r>
              <w:rPr>
                <w:sz w:val="20"/>
              </w:rPr>
              <w:t>يستأنس به ولا يخصص المحكم.</w:t>
            </w:r>
          </w:p>
        </w:tc>
      </w:tr>
      <w:tr>
        <w:trPr>
          <w:cantSplit/>
        </w:trPr>
        <w:tc>
          <w:tcPr>
            <w:tcW w:type="dxa" w:w="2635"/>
            <w:vAlign w:val="center"/>
          </w:tcPr>
          <w:p>
            <w:pPr>
              <w:spacing w:line="283" w:lineRule="auto" w:after="0"/>
              <w:jc w:val="right"/>
              <w:bidi/>
            </w:pPr>
            <w:r>
              <w:rPr>
                <w:sz w:val="20"/>
              </w:rPr>
              <w:t>تفسيري</w:t>
            </w:r>
          </w:p>
        </w:tc>
        <w:tc>
          <w:tcPr>
            <w:tcW w:type="dxa" w:w="2635"/>
            <w:vAlign w:val="center"/>
          </w:tcPr>
          <w:p>
            <w:pPr>
              <w:spacing w:line="283" w:lineRule="auto" w:after="0"/>
              <w:jc w:val="right"/>
              <w:bidi/>
            </w:pPr>
            <w:r>
              <w:rPr>
                <w:sz w:val="20"/>
              </w:rPr>
              <w:t>صحة نسبته للقائل أقوى من دلالته على النزول.</w:t>
            </w:r>
          </w:p>
        </w:tc>
        <w:tc>
          <w:tcPr>
            <w:tcW w:type="dxa" w:w="2635"/>
            <w:vAlign w:val="center"/>
          </w:tcPr>
          <w:p>
            <w:pPr>
              <w:spacing w:line="283" w:lineRule="auto" w:after="0"/>
              <w:jc w:val="right"/>
              <w:bidi/>
            </w:pPr>
            <w:r>
              <w:rPr>
                <w:sz w:val="20"/>
              </w:rPr>
              <w:t>يستفاد في تاريخ التفسير.</w:t>
            </w:r>
          </w:p>
        </w:tc>
      </w:tr>
      <w:tr>
        <w:trPr>
          <w:cantSplit/>
        </w:trPr>
        <w:tc>
          <w:tcPr>
            <w:tcW w:type="dxa" w:w="2635"/>
            <w:vAlign w:val="center"/>
          </w:tcPr>
          <w:p>
            <w:pPr>
              <w:spacing w:line="283" w:lineRule="auto" w:after="0"/>
              <w:jc w:val="right"/>
              <w:bidi/>
            </w:pPr>
            <w:r>
              <w:rPr>
                <w:sz w:val="20"/>
              </w:rPr>
              <w:t>تطبيقي</w:t>
            </w:r>
          </w:p>
        </w:tc>
        <w:tc>
          <w:tcPr>
            <w:tcW w:type="dxa" w:w="2635"/>
            <w:vAlign w:val="center"/>
          </w:tcPr>
          <w:p>
            <w:pPr>
              <w:spacing w:line="283" w:lineRule="auto" w:after="0"/>
              <w:jc w:val="right"/>
              <w:bidi/>
            </w:pPr>
            <w:r>
              <w:rPr>
                <w:sz w:val="20"/>
              </w:rPr>
              <w:t>يصف إدخال واقعة تحت الآية.</w:t>
            </w:r>
          </w:p>
        </w:tc>
        <w:tc>
          <w:tcPr>
            <w:tcW w:type="dxa" w:w="2635"/>
            <w:vAlign w:val="center"/>
          </w:tcPr>
          <w:p>
            <w:pPr>
              <w:spacing w:line="283" w:lineRule="auto" w:after="0"/>
              <w:jc w:val="right"/>
              <w:bidi/>
            </w:pPr>
            <w:r>
              <w:rPr>
                <w:sz w:val="20"/>
              </w:rPr>
              <w:t>يثبت التطبيق لا سبب النزول.</w:t>
            </w:r>
          </w:p>
        </w:tc>
      </w:tr>
      <w:tr>
        <w:trPr>
          <w:cantSplit/>
        </w:trPr>
        <w:tc>
          <w:tcPr>
            <w:tcW w:type="dxa" w:w="2635"/>
            <w:vAlign w:val="center"/>
          </w:tcPr>
          <w:p>
            <w:pPr>
              <w:spacing w:line="283" w:lineRule="auto" w:after="0"/>
              <w:jc w:val="right"/>
              <w:bidi/>
            </w:pPr>
            <w:r>
              <w:rPr>
                <w:sz w:val="20"/>
              </w:rPr>
              <w:t>ضعيف</w:t>
            </w:r>
          </w:p>
        </w:tc>
        <w:tc>
          <w:tcPr>
            <w:tcW w:type="dxa" w:w="2635"/>
            <w:vAlign w:val="center"/>
          </w:tcPr>
          <w:p>
            <w:pPr>
              <w:spacing w:line="283" w:lineRule="auto" w:after="0"/>
              <w:jc w:val="right"/>
              <w:bidi/>
            </w:pPr>
            <w:r>
              <w:rPr>
                <w:sz w:val="20"/>
              </w:rPr>
              <w:t>قصور ظاهر في الطريق أو المتن.</w:t>
            </w:r>
          </w:p>
        </w:tc>
        <w:tc>
          <w:tcPr>
            <w:tcW w:type="dxa" w:w="2635"/>
            <w:vAlign w:val="center"/>
          </w:tcPr>
          <w:p>
            <w:pPr>
              <w:spacing w:line="283" w:lineRule="auto" w:after="0"/>
              <w:jc w:val="right"/>
              <w:bidi/>
            </w:pPr>
            <w:r>
              <w:rPr>
                <w:sz w:val="20"/>
              </w:rPr>
              <w:t>لا ينفرد بتغيير المعنى.</w:t>
            </w:r>
          </w:p>
        </w:tc>
      </w:tr>
      <w:tr>
        <w:trPr>
          <w:cantSplit/>
        </w:trPr>
        <w:tc>
          <w:tcPr>
            <w:tcW w:type="dxa" w:w="2635"/>
            <w:vAlign w:val="center"/>
          </w:tcPr>
          <w:p>
            <w:pPr>
              <w:spacing w:line="283" w:lineRule="auto" w:after="0"/>
              <w:jc w:val="right"/>
              <w:bidi/>
            </w:pPr>
            <w:r>
              <w:rPr>
                <w:sz w:val="20"/>
              </w:rPr>
              <w:t>متعارض</w:t>
            </w:r>
          </w:p>
        </w:tc>
        <w:tc>
          <w:tcPr>
            <w:tcW w:type="dxa" w:w="2635"/>
            <w:vAlign w:val="center"/>
          </w:tcPr>
          <w:p>
            <w:pPr>
              <w:spacing w:line="283" w:lineRule="auto" w:after="0"/>
              <w:jc w:val="right"/>
              <w:bidi/>
            </w:pPr>
            <w:r>
              <w:rPr>
                <w:sz w:val="20"/>
              </w:rPr>
              <w:t>روايات قوية متدافعة.</w:t>
            </w:r>
          </w:p>
        </w:tc>
        <w:tc>
          <w:tcPr>
            <w:tcW w:type="dxa" w:w="2635"/>
            <w:vAlign w:val="center"/>
          </w:tcPr>
          <w:p>
            <w:pPr>
              <w:spacing w:line="283" w:lineRule="auto" w:after="0"/>
              <w:jc w:val="right"/>
              <w:bidi/>
            </w:pPr>
            <w:r>
              <w:rPr>
                <w:sz w:val="20"/>
              </w:rPr>
              <w:t>تُبنى فرضيات ويُتوقف عند عدم الترجيح.</w:t>
            </w:r>
          </w:p>
        </w:tc>
      </w:tr>
      <w:tr>
        <w:trPr>
          <w:cantSplit/>
        </w:trPr>
        <w:tc>
          <w:tcPr>
            <w:tcW w:type="dxa" w:w="2635"/>
            <w:vAlign w:val="center"/>
          </w:tcPr>
          <w:p>
            <w:pPr>
              <w:spacing w:line="283" w:lineRule="auto" w:after="0"/>
              <w:jc w:val="right"/>
              <w:bidi/>
            </w:pPr>
            <w:r>
              <w:rPr>
                <w:sz w:val="20"/>
              </w:rPr>
              <w:t>مردود</w:t>
            </w:r>
          </w:p>
        </w:tc>
        <w:tc>
          <w:tcPr>
            <w:tcW w:type="dxa" w:w="2635"/>
            <w:vAlign w:val="center"/>
          </w:tcPr>
          <w:p>
            <w:pPr>
              <w:spacing w:line="283" w:lineRule="auto" w:after="0"/>
              <w:jc w:val="right"/>
              <w:bidi/>
            </w:pPr>
            <w:r>
              <w:rPr>
                <w:sz w:val="20"/>
              </w:rPr>
              <w:t>ثبت خلل يمنع نسبة الخبر أو وظيفته.</w:t>
            </w:r>
          </w:p>
        </w:tc>
        <w:tc>
          <w:tcPr>
            <w:tcW w:type="dxa" w:w="2635"/>
            <w:vAlign w:val="center"/>
          </w:tcPr>
          <w:p>
            <w:pPr>
              <w:spacing w:line="283" w:lineRule="auto" w:after="0"/>
              <w:jc w:val="right"/>
              <w:bidi/>
            </w:pPr>
            <w:r>
              <w:rPr>
                <w:sz w:val="20"/>
              </w:rPr>
              <w:t>لا يستعمل حاكماً في التفسير.</w:t>
            </w:r>
          </w:p>
        </w:tc>
      </w:tr>
    </w:tbl>
    <w:p>
      <w:pPr>
        <w:spacing w:after="20"/>
      </w:pPr>
    </w:p>
    <w:p>
      <w:pPr>
        <w:spacing w:line="283" w:lineRule="auto" w:after="80"/>
        <w:ind w:firstLine="397"/>
        <w:jc w:val="both"/>
        <w:bidi/>
      </w:pPr>
      <w:r>
        <w:t>ثابت صريح: طريق قوي وصيغة صريحة وقرائن متسقة مع السياق. ويكون أثره: يستعمل في بيان المقام بقدر النص.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راجح: قرائن متعددة مع بقاء احتمال معتبر. ويكون أثره: يُذكر بلفظ الترجيح ولا يُحصر به المعنى.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محتمل: خبر له أصل أو طريق لكنه لا يكفي للحسم. ويكون أثره: يستأنس به ولا يخصص المحكم.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تفسيري: صحة نسبته للقائل أقوى من دلالته على النزول. ويكون أثره: يستفاد في تاريخ التفسير.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تطبيقي: يصف إدخال واقعة تحت الآية. ويكون أثره: يثبت التطبيق لا سبب النزول.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ضعيف: قصور ظاهر في الطريق أو المتن. ويكون أثره: لا ينفرد بتغيير المعنى.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متعارض: روايات قوية متدافعة. ويكون أثره: تُبنى فرضيات ويُتوقف عند عدم الترجيح. ويجب فصل درجة ثبوت الحدث عن درجة دلالته على السببية، فقد يكون الحدث ثابتاً ولا يثبت أنه سبب النزول.</w:t>
      </w:r>
    </w:p>
    <w:p>
      <w:pPr>
        <w:spacing w:line="283" w:lineRule="auto" w:after="80"/>
        <w:ind w:firstLine="397"/>
        <w:jc w:val="both"/>
        <w:bidi/>
      </w:pPr>
      <w:r>
        <w:t>مردود: ثبت خلل يمنع نسبة الخبر أو وظيفته. ويكون أثره: لا يستعمل حاكماً في التفسير. ويجب فصل درجة ثبوت الحدث عن درجة دلالته على السببية، فقد يكون الحدث ثابتاً ولا يثبت أنه سبب النزول.</w:t>
      </w:r>
    </w:p>
    <w:p>
      <w:r>
        <w:br w:type="page"/>
      </w:r>
    </w:p>
    <w:p>
      <w:pPr>
        <w:pStyle w:val="Heading1"/>
        <w:spacing w:line="283" w:lineRule="auto" w:after="120"/>
        <w:jc w:val="right"/>
        <w:keepNext/>
        <w:bidi/>
      </w:pPr>
      <w:r>
        <w:t>الملحق الثالث: الأربعون قاعدة في أسباب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بالنص قبل خبر النزول.</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اجمع المقطع والسورة قبل الرواية.</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اجمع جميع صيغ خبر النزول.</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لا تساو بين عبارة نزلت في وسبب مباشر.</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افصل السبب من المصداق.</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افصل المصداق من التطبيق.</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افصل التطبيق من التفسير بالمثال.</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تحقق من طريق الخبر.</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حدد الأصل المشترك للطرق.</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قارن ألفاظ الروايات.</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افحص تاريخ ظهور الرواية.</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حدد نوع العلاقة التاريخية.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تجعل الشهرة تواتراً.</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لا تجعل كثرة الكتب استقلالاً.</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خصوص السبب لا يحصر العموم بذاته.</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العموم يستخرج من النص والمناط.</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السياق الداخلي أصل حاكم.</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السياق الخارجي قرينة بقدر الثبوت.</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الخبر الصحيح قد لا يضيف معنىً جديداً.</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الخبر الضعيف لا يغير المحكم.</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أقوال الصحابة تحتاج إلى تصنيف وظيفي.</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المكي والمدني إطار لا ناسخ للدلالة بذاته.</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ترتيب النزول لا يثبت بالحدس.</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القراءة الثابتة لا تختارها رواية ضعيفة.</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الوقف لا يحسمه سبب نزول بلا قرينة.</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المتشابه يرد إلى المحكم قبل الخبر التاريخي.</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العقيدة تحتاج إلى عتبة أعلى.</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العقوبة تحتاج إلى عتبة أعلى.</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الخبر المذهبي يطبق عليه المعيار نفسه.</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ابن قراءةً منافسة بلا خبر النزول.</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اذكر ما يبقى من المعنى إذا سقط الخبر.</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اختبر فرضية التطبيق بدل السبب.</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اختبر فرضية التفسير المتأخر.</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لا تختلق سياقاً مفقوداً.</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سجل الأخبار المستبعدة وأسبابها.</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استخدم التوقف عند تعادل الروايات.</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لا تجعل الحاسوب مقرراً للسبب.</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أعط كل خبر معرفاً وإصداراً.</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أعلن حدود المدونة.</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الحاكمية للقرآن والخبر خادم للبيان.</w:t>
            </w:r>
          </w:p>
        </w:tc>
      </w:tr>
    </w:tbl>
    <w:p>
      <w:pPr>
        <w:spacing w:after="20"/>
      </w:pPr>
    </w:p>
    <w:p>
      <w:pPr>
        <w:spacing w:line="283" w:lineRule="auto" w:after="80"/>
        <w:ind w:firstLine="397"/>
        <w:jc w:val="both"/>
        <w:bidi/>
      </w:pPr>
      <w:r>
        <w:t>القاعدة 1: ابدأ بالنص قبل خبر النزول.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 اجمع المقطع والسورة قبل الرواية.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 اجمع جميع صيغ خبر النزول.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4: لا تساو بين عبارة نزلت في وسبب مباشر.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5: افصل السبب من المصداق.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6: افصل المصداق من التطبيق.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7: افصل التطبيق من التفسير بالمثال.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8: تحقق من طريق الخبر.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9: حدد الأصل المشترك للطرق.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10: قارن ألفاظ الروايات.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11: افحص تاريخ ظهور الرواية.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12: حدد نوع العلاقة التاريخية.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13: لا تجعل الشهرة تواتراً.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14: لا تجعل كثرة الكتب استقلالاً.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15: خصوص السبب لا يحصر العموم بذاته.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16: العموم يستخرج من النص والمناط.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17: السياق الداخلي أصل حاكم.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18: السياق الخارجي قرينة بقدر الثبوت.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19: الخبر الصحيح قد لا يضيف معنىً جديداً.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20: الخبر الضعيف لا يغير المحكم.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21: أقوال الصحابة تحتاج إلى تصنيف وظيفي.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22: المكي والمدني إطار لا ناسخ للدلالة بذاته.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23: ترتيب النزول لا يثبت بالحدس.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24: القراءة الثابتة لا تختارها رواية ضعيفة.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25: الوقف لا يحسمه سبب نزول بلا قرينة.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26: المتشابه يرد إلى المحكم قبل الخبر التاريخي.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27: العقيدة تحتاج إلى عتبة أعلى.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28: العقوبة تحتاج إلى عتبة أعلى.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29: الخبر المذهبي يطبق عليه المعيار نفسه.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30: ابن قراءةً منافسة بلا خبر النزول.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31: اذكر ما يبقى من المعنى إذا سقط الخبر.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32: اختبر فرضية التطبيق بدل السبب.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33: اختبر فرضية التفسير المتأخر.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34: لا تختلق سياقاً مفقوداً.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35: سجل الأخبار المستبعدة وأسبابها.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36: استخدم التوقف عند تعادل الروايات.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37: لا تجعل الحاسوب مقرراً للسبب.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38: أعط كل خبر معرفاً وإصداراً.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39: أعلن حدود المدونة.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pPr>
        <w:spacing w:line="283" w:lineRule="auto" w:after="80"/>
        <w:ind w:firstLine="397"/>
        <w:jc w:val="both"/>
        <w:bidi/>
      </w:pPr>
      <w:r>
        <w:t>القاعدة 40: الحاكمية للقرآن والخبر خادم للبيان. وتعمل هذه القاعدة داخل ملف متكامل لا منفردةً؛ فإذا تعارضت مع قرينة أقوى وجب بيان سبب التقييد، ولا يجوز تحويلها إلى قانون صوري يتجاوز تنوع أخبار النزول.</w:t>
      </w:r>
    </w:p>
    <w:p>
      <w:r>
        <w:br w:type="page"/>
      </w:r>
    </w:p>
    <w:p>
      <w:pPr>
        <w:pStyle w:val="Heading1"/>
        <w:spacing w:line="283" w:lineRule="auto" w:after="120"/>
        <w:jc w:val="right"/>
        <w:keepNext/>
        <w:bidi/>
      </w:pPr>
      <w:r>
        <w:t>الملحق الرابع: الأربعون مغالطة في أسباب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كل رواية مرتبطة بالآية سبب نزول.</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كل قول صحابي في الآية شهادة على النزول.</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عبارة نزلت في تعني السببية دائماً.</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كل سبب مشهور صحيح.</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تكرار الخبر في التفاسير يعني استقلال طرقه.</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القصة المفصلة أقرب إلى الحقيقة من الرواية المختصرة.</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الحدث الصحيح يثبت السببية.</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السبب الخاص يحصر العموم آلياً.</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عموم اللفظ يلغي قيمة السبب تماماً.</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السياق التاريخي المحتمل يخصص النص.</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المكي والمدني يحسم المعنى وحده.</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ترتيب النزول المقدر حقيقة قطعية.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رواية نزول واحدة تحسم الخلاف القرائي.</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الوقف الموافق للقصة هو الصحيح.</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سبب النزول ناسخ للسياق السُّوري.</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المتشابه يفسر بخبر ضعيف إذا كان مشهوراً.</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العقيدة تثبت بسبب نزول آحادي محتمل.</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الحدود والعقوبات تُفهم من الواقعة وحدها.</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المذهب يملك رواياته الخاصة بلا معيار مشترك.</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الرواية الموافقة للعقيدة أقوى تلقائياً.</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رفض الرواية المخالفة يحل التعارض.</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يمكن إعادة بناء السبب من التاريخ الحديث بلا نقل.</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كل يسألونك له سبب واحد محفوظ.</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كل عتاب نبوي له قصة صحيحة.</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كل اسم ورد في التفسير هو صاحب الواقعة.</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المصداق الأول يلغي بقية المصاديق.</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التطبيق النبوي يعيد تاريخ النزول.</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الرواية المتأخرة أضعف دائماً بغض النظر عن مصدرها.</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الخبر المرسل باطل من كل وجه.</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الخبر الصحيح حاكم على كل طبقات المعنى.</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الخبر الضعيف لا يفيد في تاريخ التلقي.</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الصيغة الواحدة تمثل جميع طرق الرواية.</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الحاسوب يستطيع تحديد السبب من التشابه.</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الذكاء الاصطناعي يستطيع ترجيح الروايات بلا تفسير.</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لا حاجة إلى سجل للمستبعدات.</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التوقف ضعف ينبغي تجنبه.</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كل اختلاف بين الروايات تعارض حقيقي.</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الجمع بين الروايات واجب ولو بلا قرينة.</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المنهج الجديد معصوم من التحيز.</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أسباب النزول أهم من السياق القرآني نفسه.</w:t>
            </w:r>
          </w:p>
        </w:tc>
      </w:tr>
    </w:tbl>
    <w:p>
      <w:pPr>
        <w:spacing w:after="20"/>
      </w:pPr>
    </w:p>
    <w:p>
      <w:pPr>
        <w:spacing w:line="283" w:lineRule="auto" w:after="80"/>
        <w:ind w:firstLine="397"/>
        <w:jc w:val="both"/>
        <w:bidi/>
      </w:pPr>
      <w:r>
        <w:t>المغالطة 1: كل رواية مرتبطة بالآية سبب نزول.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 كل قول صحابي في الآية شهادة على النزول.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 عبارة نزلت في تعني السببية دائماً.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4: كل سبب مشهور صحيح.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5: تكرار الخبر في التفاسير يعني استقلال طرقه.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6: القصة المفصلة أقرب إلى الحقيقة من الرواية المختصرة.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7: الحدث الصحيح يثبت السببية.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8: السبب الخاص يحصر العموم آلياً.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9: عموم اللفظ يلغي قيمة السبب تماماً.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10: السياق التاريخي المحتمل يخصص النص.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11: المكي والمدني يحسم المعنى وحده.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12: ترتيب النزول المقدر حقيقة قطعية.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13: رواية نزول واحدة تحسم الخلاف القرائي.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14: الوقف الموافق للقصة هو الصحيح.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15: سبب النزول ناسخ للسياق السُّوري.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16: المتشابه يفسر بخبر ضعيف إذا كان مشهوراً.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17: العقيدة تثبت بسبب نزول آحادي محتمل.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18: الحدود والعقوبات تُفهم من الواقعة وحدها.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19: المذهب يملك رواياته الخاصة بلا معيار مشترك.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20: الرواية الموافقة للعقيدة أقوى تلقائياً.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21: رفض الرواية المخالفة يحل التعارض.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22: يمكن إعادة بناء السبب من التاريخ الحديث بلا نقل.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23: كل يسألونك له سبب واحد محفوظ.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24: كل عتاب نبوي له قصة صحيحة.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25: كل اسم ورد في التفسير هو صاحب الواقعة.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26: المصداق الأول يلغي بقية المصاديق.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27: التطبيق النبوي يعيد تاريخ النزول.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28: الرواية المتأخرة أضعف دائماً بغض النظر عن مصدرها.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29: الخبر المرسل باطل من كل وجه.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30: الخبر الصحيح حاكم على كل طبقات المعنى.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31: الخبر الضعيف لا يفيد في تاريخ التلقي.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32: الصيغة الواحدة تمثل جميع طرق الرواية.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33: الحاسوب يستطيع تحديد السبب من التشابه.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34: الذكاء الاصطناعي يستطيع ترجيح الروايات بلا تفسير.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35: لا حاجة إلى سجل للمستبعدات.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36: التوقف ضعف ينبغي تجنبه.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37: كل اختلاف بين الروايات تعارض حقيقي.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38: الجمع بين الروايات واجب ولو بلا قرينة.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39: المنهج الجديد معصوم من التحيز.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pPr>
        <w:spacing w:line="283" w:lineRule="auto" w:after="80"/>
        <w:ind w:firstLine="397"/>
        <w:jc w:val="both"/>
        <w:bidi/>
      </w:pPr>
      <w:r>
        <w:t>المغالطة 40: أسباب النزول أهم من السياق القرآني نفسه. وتُكشف بمقارنة نوع الدعوى بالدليل الذي يسندها، وبفصل الثبوت التاريخي من الوظيفة التفسيرية، وبإلزام الباحث بفرضية بديلة واختبار آية أو حالة لا تناسب تفسيره الأول.</w:t>
      </w:r>
    </w:p>
    <w:p>
      <w:r>
        <w:br w:type="page"/>
      </w:r>
    </w:p>
    <w:p>
      <w:pPr>
        <w:pStyle w:val="Heading1"/>
        <w:spacing w:line="283" w:lineRule="auto" w:after="120"/>
        <w:jc w:val="right"/>
        <w:keepNext/>
        <w:bidi/>
      </w:pPr>
      <w:r>
        <w:t>الملحق الخامس: المختبرات التطبيقية الموسعة</w:t>
      </w:r>
    </w:p>
    <w:p>
      <w:pPr>
        <w:pStyle w:val="Heading2"/>
        <w:spacing w:line="283" w:lineRule="auto" w:after="120"/>
        <w:jc w:val="right"/>
        <w:keepNext/>
        <w:bidi/>
      </w:pPr>
      <w:r>
        <w:t>آية الظهار - المجادلة 1</w:t>
      </w:r>
    </w:p>
    <w:p>
      <w:pPr>
        <w:spacing w:line="283" w:lineRule="auto" w:after="80"/>
        <w:ind w:firstLine="397"/>
        <w:jc w:val="both"/>
        <w:bidi/>
      </w:pPr>
      <w:r>
        <w:t>محور المختبر: خبر شكوى المرأة إلى النبي وصلته المباشرة بنزول مطلع السورة.</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آيات اللعان - النور 6-9</w:t>
      </w:r>
    </w:p>
    <w:p>
      <w:pPr>
        <w:spacing w:line="283" w:lineRule="auto" w:after="80"/>
        <w:ind w:firstLine="397"/>
        <w:jc w:val="both"/>
        <w:bidi/>
      </w:pPr>
      <w:r>
        <w:t>محور المختبر: تعدد الروايات في تسمية صاحب الواقعة وتحديد الوظيفة التشريعية.</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آيات الإفك - النور 11 وما بعدها</w:t>
      </w:r>
    </w:p>
    <w:p>
      <w:pPr>
        <w:spacing w:line="283" w:lineRule="auto" w:after="80"/>
        <w:ind w:firstLine="397"/>
        <w:jc w:val="both"/>
        <w:bidi/>
      </w:pPr>
      <w:r>
        <w:t>محور المختبر: العلاقة بين القصة المتداولة وبنية المقطع ومقاصد صيانة العرض.</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تحويل القبلة - البقرة 142-150</w:t>
      </w:r>
    </w:p>
    <w:p>
      <w:pPr>
        <w:spacing w:line="283" w:lineRule="auto" w:after="80"/>
        <w:ind w:firstLine="397"/>
        <w:jc w:val="both"/>
        <w:bidi/>
      </w:pPr>
      <w:r>
        <w:t>محور المختبر: السياق السُّوري والتاريخي وتعدد المخاطبين.</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تحريم الخمر ومراحله</w:t>
      </w:r>
    </w:p>
    <w:p>
      <w:pPr>
        <w:spacing w:line="283" w:lineRule="auto" w:after="80"/>
        <w:ind w:firstLine="397"/>
        <w:jc w:val="both"/>
        <w:bidi/>
      </w:pPr>
      <w:r>
        <w:t>محور المختبر: الروايات التي تربط حوادث متعددة بآيات مختلفة وعلاقتها بالتدرج.</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السرقة - المائدة 38</w:t>
      </w:r>
    </w:p>
    <w:p>
      <w:pPr>
        <w:spacing w:line="283" w:lineRule="auto" w:after="80"/>
        <w:ind w:firstLine="397"/>
        <w:jc w:val="both"/>
        <w:bidi/>
      </w:pPr>
      <w:r>
        <w:t>محور المختبر: هل يحتاج الحكم إلى سبب نزول أم يكفي السياق التشريعي؟</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آيات الربا - البقرة وآل عمران</w:t>
      </w:r>
    </w:p>
    <w:p>
      <w:pPr>
        <w:spacing w:line="283" w:lineRule="auto" w:after="80"/>
        <w:ind w:firstLine="397"/>
        <w:jc w:val="both"/>
        <w:bidi/>
      </w:pPr>
      <w:r>
        <w:t>محور المختبر: تاريخ التطبيق والديون الجاهلية وحدود حصر المفهوم.</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القتال - التوبة 5</w:t>
      </w:r>
    </w:p>
    <w:p>
      <w:pPr>
        <w:spacing w:line="283" w:lineRule="auto" w:after="80"/>
        <w:ind w:firstLine="397"/>
        <w:jc w:val="both"/>
        <w:bidi/>
      </w:pPr>
      <w:r>
        <w:t>محور المختبر: السياق العهدي والسياسي ومشكلة انتزاع الآية من مقطعها.</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لا إكراه في الدين - البقرة 256</w:t>
      </w:r>
    </w:p>
    <w:p>
      <w:pPr>
        <w:spacing w:line="283" w:lineRule="auto" w:after="80"/>
        <w:ind w:firstLine="397"/>
        <w:jc w:val="both"/>
        <w:bidi/>
      </w:pPr>
      <w:r>
        <w:t>محور المختبر: الروايات التاريخية ومقدار أثرها في عموم النفي.</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الولاية - المائدة 55</w:t>
      </w:r>
    </w:p>
    <w:p>
      <w:pPr>
        <w:spacing w:line="283" w:lineRule="auto" w:after="80"/>
        <w:ind w:firstLine="397"/>
        <w:jc w:val="both"/>
        <w:bidi/>
      </w:pPr>
      <w:r>
        <w:t>محور المختبر: تعارض الروايات المذهبية وعلاقة النص بالمصاديق.</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التطهير - الأحزاب 33</w:t>
      </w:r>
    </w:p>
    <w:p>
      <w:pPr>
        <w:spacing w:line="283" w:lineRule="auto" w:after="80"/>
        <w:ind w:firstLine="397"/>
        <w:jc w:val="both"/>
        <w:bidi/>
      </w:pPr>
      <w:r>
        <w:t>محور المختبر: سياق نساء النبي وروايات الكساء ومسألة تعدد الطبقات.</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أولي الأمر - النساء 59</w:t>
      </w:r>
    </w:p>
    <w:p>
      <w:pPr>
        <w:spacing w:line="283" w:lineRule="auto" w:after="80"/>
        <w:ind w:firstLine="397"/>
        <w:jc w:val="both"/>
        <w:bidi/>
      </w:pPr>
      <w:r>
        <w:t>محور المختبر: الروايات التفسيرية والمذهبية وحدود إثبات المصداق.</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المباهلة - آل عمران 61</w:t>
      </w:r>
    </w:p>
    <w:p>
      <w:pPr>
        <w:spacing w:line="283" w:lineRule="auto" w:after="80"/>
        <w:ind w:firstLine="397"/>
        <w:jc w:val="both"/>
        <w:bidi/>
      </w:pPr>
      <w:r>
        <w:t>محور المختبر: السياق الحجاجي والتاريخي وتعيين المشاركين.</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النجوى - المجادلة 12-13</w:t>
      </w:r>
    </w:p>
    <w:p>
      <w:pPr>
        <w:spacing w:line="283" w:lineRule="auto" w:after="80"/>
        <w:ind w:firstLine="397"/>
        <w:jc w:val="both"/>
        <w:bidi/>
      </w:pPr>
      <w:r>
        <w:t>محور المختبر: السياق التشريعي ومقدار الحاجة إلى خبر خارجي.</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الإنفاق والنجوى</w:t>
      </w:r>
    </w:p>
    <w:p>
      <w:pPr>
        <w:spacing w:line="283" w:lineRule="auto" w:after="80"/>
        <w:ind w:firstLine="397"/>
        <w:jc w:val="both"/>
        <w:bidi/>
      </w:pPr>
      <w:r>
        <w:t>محور المختبر: صلة التطبيق التاريخي بعموم التوجيه.</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السؤال عن الروح - الإسراء 85</w:t>
      </w:r>
    </w:p>
    <w:p>
      <w:pPr>
        <w:spacing w:line="283" w:lineRule="auto" w:after="80"/>
        <w:ind w:firstLine="397"/>
        <w:jc w:val="both"/>
        <w:bidi/>
      </w:pPr>
      <w:r>
        <w:t>محور المختبر: تعدد روايات السؤال وتعارض تحديد السائلين.</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يسألونك عن الأهلة - البقرة 189</w:t>
      </w:r>
    </w:p>
    <w:p>
      <w:pPr>
        <w:spacing w:line="283" w:lineRule="auto" w:after="80"/>
        <w:ind w:firstLine="397"/>
        <w:jc w:val="both"/>
        <w:bidi/>
      </w:pPr>
      <w:r>
        <w:t>محور المختبر: السؤال التاريخي ووظيفة الجواب القرآني الأوسع.</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يسألونك عن المحيض - البقرة 222</w:t>
      </w:r>
    </w:p>
    <w:p>
      <w:pPr>
        <w:spacing w:line="283" w:lineRule="auto" w:after="80"/>
        <w:ind w:firstLine="397"/>
        <w:jc w:val="both"/>
        <w:bidi/>
      </w:pPr>
      <w:r>
        <w:t>محور المختبر: السؤال والممارسة الاجتماعية وحدود التعميم.</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السعي بين الصفا والمروة - البقرة 158</w:t>
      </w:r>
    </w:p>
    <w:p>
      <w:pPr>
        <w:spacing w:line="283" w:lineRule="auto" w:after="80"/>
        <w:ind w:firstLine="397"/>
        <w:jc w:val="both"/>
        <w:bidi/>
      </w:pPr>
      <w:r>
        <w:t>محور المختبر: خبر الحرج من السعي وأثره في فهم «فلا جناح عليه».</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pPr>
        <w:pStyle w:val="Heading2"/>
        <w:spacing w:line="283" w:lineRule="auto" w:after="120"/>
        <w:jc w:val="right"/>
        <w:keepNext/>
        <w:bidi/>
      </w:pPr>
      <w:r>
        <w:t>آية ليس البر - البقرة 177</w:t>
      </w:r>
    </w:p>
    <w:p>
      <w:pPr>
        <w:spacing w:line="283" w:lineRule="auto" w:after="80"/>
        <w:ind w:firstLine="397"/>
        <w:jc w:val="both"/>
        <w:bidi/>
      </w:pPr>
      <w:r>
        <w:t>محور المختبر: السياق الجدلي وعلاقة الاتجاه إلى القبلة ببناء مفهوم البر.</w:t>
      </w:r>
    </w:p>
    <w:p>
      <w:pPr>
        <w:pStyle w:val="Heading3"/>
        <w:spacing w:line="283" w:lineRule="auto" w:after="120"/>
        <w:jc w:val="right"/>
        <w:keepNext/>
        <w:bidi/>
      </w:pPr>
      <w:r>
        <w:t>النص والسياق الداخلي</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جمع روايات النزول</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فحص الطريق والمتن</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تصنيف نوع العلاقة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القراءة المنافسة</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أثر الخبر في العموم والخصوص</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p>
      <w:pPr>
        <w:pStyle w:val="Heading3"/>
        <w:spacing w:line="283" w:lineRule="auto" w:after="120"/>
        <w:jc w:val="right"/>
        <w:keepNext/>
        <w:bidi/>
      </w:pPr>
      <w:r>
        <w:t>الحكم والحدود</w:t>
      </w:r>
    </w:p>
    <w:p>
      <w:pPr>
        <w:spacing w:line="283" w:lineRule="auto" w:after="80"/>
        <w:ind w:firstLine="397"/>
        <w:jc w:val="both"/>
        <w:bidi/>
      </w:pPr>
      <w:r>
        <w:t>تُجمع المادة المتعلقة بهذه المرحلة مع توثيق المصدر ودرجة الثقة، ويُفصل ما يقوله القرآن مباشرةً عما تضيفه الرواية أو يستنتجه المفسر. ولا تُحذف الصيغ المخالفة حفاظاً على اتساق القصة المشهورة.</w:t>
      </w:r>
    </w:p>
    <w:p>
      <w:pPr>
        <w:spacing w:line="283" w:lineRule="auto" w:after="80"/>
        <w:ind w:firstLine="397"/>
        <w:jc w:val="both"/>
        <w:bidi/>
      </w:pPr>
      <w:r>
        <w:t>يُسأل في كل مرحلة: هل تتغير دلالة الآية إذا سقط هذا الخبر؟ وإذا تغيرت، فما القرينة التي تعطي الرواية هذه القوة؟ وهل يمكن تفسير النص بفرضية تاريخية أخرى أقل اعتماداً على مادة متنازع فيها؟</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القرآن</w:t>
            </w:r>
          </w:p>
        </w:tc>
        <w:tc>
          <w:tcPr>
            <w:tcW w:type="dxa" w:w="3952"/>
            <w:vAlign w:val="center"/>
          </w:tcPr>
          <w:p>
            <w:pPr>
              <w:spacing w:line="283" w:lineRule="auto" w:after="0"/>
              <w:jc w:val="right"/>
              <w:bidi/>
            </w:pPr>
            <w:r>
              <w:rPr>
                <w:sz w:val="20"/>
              </w:rPr>
              <w:t>معنى وسياق</w:t>
            </w:r>
          </w:p>
        </w:tc>
      </w:tr>
      <w:tr>
        <w:trPr>
          <w:cantSplit/>
        </w:trPr>
        <w:tc>
          <w:tcPr>
            <w:tcW w:type="dxa" w:w="3952"/>
            <w:vAlign w:val="center"/>
          </w:tcPr>
          <w:p>
            <w:pPr>
              <w:spacing w:line="283" w:lineRule="auto" w:after="0"/>
              <w:jc w:val="right"/>
              <w:bidi/>
            </w:pPr>
            <w:r>
              <w:rPr>
                <w:sz w:val="20"/>
              </w:rPr>
              <w:t>الرواية</w:t>
            </w:r>
          </w:p>
        </w:tc>
        <w:tc>
          <w:tcPr>
            <w:tcW w:type="dxa" w:w="3952"/>
            <w:vAlign w:val="center"/>
          </w:tcPr>
          <w:p>
            <w:pPr>
              <w:spacing w:line="283" w:lineRule="auto" w:after="0"/>
              <w:jc w:val="right"/>
              <w:bidi/>
            </w:pPr>
            <w:r>
              <w:rPr>
                <w:sz w:val="20"/>
              </w:rPr>
              <w:t>درجة ثبوت</w:t>
            </w:r>
          </w:p>
        </w:tc>
      </w:tr>
      <w:tr>
        <w:trPr>
          <w:cantSplit/>
        </w:trP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سبب/مصداق/تطبيق</w:t>
            </w:r>
          </w:p>
        </w:tc>
      </w:tr>
      <w:tr>
        <w:trPr>
          <w:cantSplit/>
        </w:trPr>
        <w:tc>
          <w:tcPr>
            <w:tcW w:type="dxa" w:w="3952"/>
            <w:vAlign w:val="center"/>
          </w:tcPr>
          <w:p>
            <w:pPr>
              <w:spacing w:line="283" w:lineRule="auto" w:after="0"/>
              <w:jc w:val="right"/>
              <w:bidi/>
            </w:pPr>
            <w:r>
              <w:rPr>
                <w:sz w:val="20"/>
              </w:rPr>
              <w:t>الأثر</w:t>
            </w:r>
          </w:p>
        </w:tc>
        <w:tc>
          <w:tcPr>
            <w:tcW w:type="dxa" w:w="3952"/>
            <w:vAlign w:val="center"/>
          </w:tcPr>
          <w:p>
            <w:pPr>
              <w:spacing w:line="283" w:lineRule="auto" w:after="0"/>
              <w:jc w:val="right"/>
              <w:bidi/>
            </w:pPr>
            <w:r>
              <w:rPr>
                <w:sz w:val="20"/>
              </w:rPr>
              <w:t>قيد محدد</w:t>
            </w:r>
          </w:p>
        </w:tc>
      </w:tr>
      <w:tr>
        <w:trPr>
          <w:cantSplit/>
        </w:trP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قراءة منافسة</w:t>
            </w:r>
          </w:p>
        </w:tc>
      </w:tr>
      <w:tr>
        <w:trPr>
          <w:cantSplit/>
        </w:trPr>
        <w:tc>
          <w:tcPr>
            <w:tcW w:type="dxa" w:w="3952"/>
            <w:vAlign w:val="center"/>
          </w:tcPr>
          <w:p>
            <w:pPr>
              <w:spacing w:line="283" w:lineRule="auto" w:after="0"/>
              <w:jc w:val="right"/>
              <w:bidi/>
            </w:pPr>
            <w:r>
              <w:rPr>
                <w:sz w:val="20"/>
              </w:rPr>
              <w:t>الخلاصة</w:t>
            </w:r>
          </w:p>
        </w:tc>
        <w:tc>
          <w:tcPr>
            <w:tcW w:type="dxa" w:w="3952"/>
            <w:vAlign w:val="center"/>
          </w:tcPr>
          <w:p>
            <w:pPr>
              <w:spacing w:line="283" w:lineRule="auto" w:after="0"/>
              <w:jc w:val="right"/>
              <w:bidi/>
            </w:pPr>
            <w:r>
              <w:rPr>
                <w:sz w:val="20"/>
              </w:rPr>
              <w:t>حكم متدرج</w:t>
            </w:r>
          </w:p>
        </w:tc>
      </w:tr>
    </w:tbl>
    <w:p>
      <w:pPr>
        <w:spacing w:after="20"/>
      </w:pPr>
    </w:p>
    <w:p>
      <w:r>
        <w:br w:type="page"/>
      </w:r>
    </w:p>
    <w:p>
      <w:pPr>
        <w:pStyle w:val="Heading1"/>
        <w:spacing w:line="283" w:lineRule="auto" w:after="120"/>
        <w:jc w:val="right"/>
        <w:keepNext/>
        <w:bidi/>
      </w:pPr>
      <w:r>
        <w:t>الملحق السادس: مدارس أسباب النزول ومواطن القوة والخلل</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المدرسة</w:t>
            </w:r>
          </w:p>
        </w:tc>
        <w:tc>
          <w:tcPr>
            <w:tcW w:type="dxa" w:w="2635"/>
            <w:vAlign w:val="center"/>
          </w:tcPr>
          <w:p>
            <w:pPr>
              <w:spacing w:line="283" w:lineRule="auto" w:after="0"/>
              <w:jc w:val="center"/>
              <w:bidi/>
            </w:pPr>
            <w:r>
              <w:rPr>
                <w:b/>
                <w:sz w:val="18"/>
              </w:rPr>
              <w:t>موطن القوة</w:t>
            </w:r>
          </w:p>
        </w:tc>
        <w:tc>
          <w:tcPr>
            <w:tcW w:type="dxa" w:w="2635"/>
            <w:vAlign w:val="center"/>
          </w:tcPr>
          <w:p>
            <w:pPr>
              <w:spacing w:line="283" w:lineRule="auto" w:after="0"/>
              <w:jc w:val="center"/>
              <w:bidi/>
            </w:pPr>
            <w:r>
              <w:rPr>
                <w:b/>
                <w:sz w:val="18"/>
              </w:rPr>
              <w:t>التصحيح البياني</w:t>
            </w:r>
          </w:p>
        </w:tc>
      </w:tr>
      <w:tr>
        <w:trPr>
          <w:cantSplit/>
        </w:trPr>
        <w:tc>
          <w:tcPr>
            <w:tcW w:type="dxa" w:w="2635"/>
            <w:vAlign w:val="center"/>
          </w:tcPr>
          <w:p>
            <w:pPr>
              <w:spacing w:line="283" w:lineRule="auto" w:after="0"/>
              <w:jc w:val="right"/>
              <w:bidi/>
            </w:pPr>
            <w:r>
              <w:rPr>
                <w:sz w:val="18"/>
              </w:rPr>
              <w:t>المحدثون</w:t>
            </w:r>
          </w:p>
        </w:tc>
        <w:tc>
          <w:tcPr>
            <w:tcW w:type="dxa" w:w="2635"/>
            <w:vAlign w:val="center"/>
          </w:tcPr>
          <w:p>
            <w:pPr>
              <w:spacing w:line="283" w:lineRule="auto" w:after="0"/>
              <w:jc w:val="right"/>
              <w:bidi/>
            </w:pPr>
            <w:r>
              <w:rPr>
                <w:sz w:val="18"/>
              </w:rPr>
              <w:t>قوة في الأسانيد وجمع الطرق، مع تفاوت في تحليل وظيفة عبارة «نزلت في».</w:t>
            </w:r>
          </w:p>
        </w:tc>
        <w:tc>
          <w:tcPr>
            <w:tcW w:type="dxa" w:w="2635"/>
            <w:vAlign w:val="center"/>
          </w:tcPr>
          <w:p>
            <w:pPr>
              <w:spacing w:line="283" w:lineRule="auto" w:after="0"/>
              <w:jc w:val="right"/>
              <w:bidi/>
            </w:pPr>
            <w:r>
              <w:rPr>
                <w:sz w:val="18"/>
              </w:rPr>
              <w:t>دمج نقد الطريق بتحليل المتن والسياق.</w:t>
            </w:r>
          </w:p>
        </w:tc>
      </w:tr>
      <w:tr>
        <w:trPr>
          <w:cantSplit/>
        </w:trPr>
        <w:tc>
          <w:tcPr>
            <w:tcW w:type="dxa" w:w="2635"/>
            <w:vAlign w:val="center"/>
          </w:tcPr>
          <w:p>
            <w:pPr>
              <w:spacing w:line="283" w:lineRule="auto" w:after="0"/>
              <w:jc w:val="right"/>
              <w:bidi/>
            </w:pPr>
            <w:r>
              <w:rPr>
                <w:sz w:val="18"/>
              </w:rPr>
              <w:t>المفسرون بالمأثور</w:t>
            </w:r>
          </w:p>
        </w:tc>
        <w:tc>
          <w:tcPr>
            <w:tcW w:type="dxa" w:w="2635"/>
            <w:vAlign w:val="center"/>
          </w:tcPr>
          <w:p>
            <w:pPr>
              <w:spacing w:line="283" w:lineRule="auto" w:after="0"/>
              <w:jc w:val="right"/>
              <w:bidi/>
            </w:pPr>
            <w:r>
              <w:rPr>
                <w:sz w:val="18"/>
              </w:rPr>
              <w:t>حفظ مادة واسعة من الروايات وأقوال السلف.</w:t>
            </w:r>
          </w:p>
        </w:tc>
        <w:tc>
          <w:tcPr>
            <w:tcW w:type="dxa" w:w="2635"/>
            <w:vAlign w:val="center"/>
          </w:tcPr>
          <w:p>
            <w:pPr>
              <w:spacing w:line="283" w:lineRule="auto" w:after="0"/>
              <w:jc w:val="right"/>
              <w:bidi/>
            </w:pPr>
            <w:r>
              <w:rPr>
                <w:sz w:val="18"/>
              </w:rPr>
              <w:t>فصل السبب من التطبيق والتفسير.</w:t>
            </w:r>
          </w:p>
        </w:tc>
      </w:tr>
      <w:tr>
        <w:trPr>
          <w:cantSplit/>
        </w:trPr>
        <w:tc>
          <w:tcPr>
            <w:tcW w:type="dxa" w:w="2635"/>
            <w:vAlign w:val="center"/>
          </w:tcPr>
          <w:p>
            <w:pPr>
              <w:spacing w:line="283" w:lineRule="auto" w:after="0"/>
              <w:jc w:val="right"/>
              <w:bidi/>
            </w:pPr>
            <w:r>
              <w:rPr>
                <w:sz w:val="18"/>
              </w:rPr>
              <w:t>الفقهاء</w:t>
            </w:r>
          </w:p>
        </w:tc>
        <w:tc>
          <w:tcPr>
            <w:tcW w:type="dxa" w:w="2635"/>
            <w:vAlign w:val="center"/>
          </w:tcPr>
          <w:p>
            <w:pPr>
              <w:spacing w:line="283" w:lineRule="auto" w:after="0"/>
              <w:jc w:val="right"/>
              <w:bidi/>
            </w:pPr>
            <w:r>
              <w:rPr>
                <w:sz w:val="18"/>
              </w:rPr>
              <w:t>تنبه إلى أثر السبب في العموم والخصوص والمناط.</w:t>
            </w:r>
          </w:p>
        </w:tc>
        <w:tc>
          <w:tcPr>
            <w:tcW w:type="dxa" w:w="2635"/>
            <w:vAlign w:val="center"/>
          </w:tcPr>
          <w:p>
            <w:pPr>
              <w:spacing w:line="283" w:lineRule="auto" w:after="0"/>
              <w:jc w:val="right"/>
              <w:bidi/>
            </w:pPr>
            <w:r>
              <w:rPr>
                <w:sz w:val="18"/>
              </w:rPr>
              <w:t>منع جعل القاعدة الأصولية بديلاً عن تحقيق الخبر.</w:t>
            </w:r>
          </w:p>
        </w:tc>
      </w:tr>
      <w:tr>
        <w:trPr>
          <w:cantSplit/>
        </w:trPr>
        <w:tc>
          <w:tcPr>
            <w:tcW w:type="dxa" w:w="2635"/>
            <w:vAlign w:val="center"/>
          </w:tcPr>
          <w:p>
            <w:pPr>
              <w:spacing w:line="283" w:lineRule="auto" w:after="0"/>
              <w:jc w:val="right"/>
              <w:bidi/>
            </w:pPr>
            <w:r>
              <w:rPr>
                <w:sz w:val="18"/>
              </w:rPr>
              <w:t>الأصوليون</w:t>
            </w:r>
          </w:p>
        </w:tc>
        <w:tc>
          <w:tcPr>
            <w:tcW w:type="dxa" w:w="2635"/>
            <w:vAlign w:val="center"/>
          </w:tcPr>
          <w:p>
            <w:pPr>
              <w:spacing w:line="283" w:lineRule="auto" w:after="0"/>
              <w:jc w:val="right"/>
              <w:bidi/>
            </w:pPr>
            <w:r>
              <w:rPr>
                <w:sz w:val="18"/>
              </w:rPr>
              <w:t>صياغة قواعد عامة مثل عموم اللفظ وخصوص السبب.</w:t>
            </w:r>
          </w:p>
        </w:tc>
        <w:tc>
          <w:tcPr>
            <w:tcW w:type="dxa" w:w="2635"/>
            <w:vAlign w:val="center"/>
          </w:tcPr>
          <w:p>
            <w:pPr>
              <w:spacing w:line="283" w:lineRule="auto" w:after="0"/>
              <w:jc w:val="right"/>
              <w:bidi/>
            </w:pPr>
            <w:r>
              <w:rPr>
                <w:sz w:val="18"/>
              </w:rPr>
              <w:t>إعادة ربط القواعد بالمدونة المتحققة.</w:t>
            </w:r>
          </w:p>
        </w:tc>
      </w:tr>
      <w:tr>
        <w:trPr>
          <w:cantSplit/>
        </w:trPr>
        <w:tc>
          <w:tcPr>
            <w:tcW w:type="dxa" w:w="2635"/>
            <w:vAlign w:val="center"/>
          </w:tcPr>
          <w:p>
            <w:pPr>
              <w:spacing w:line="283" w:lineRule="auto" w:after="0"/>
              <w:jc w:val="right"/>
              <w:bidi/>
            </w:pPr>
            <w:r>
              <w:rPr>
                <w:sz w:val="18"/>
              </w:rPr>
              <w:t>المدرسة الكلامية</w:t>
            </w:r>
          </w:p>
        </w:tc>
        <w:tc>
          <w:tcPr>
            <w:tcW w:type="dxa" w:w="2635"/>
            <w:vAlign w:val="center"/>
          </w:tcPr>
          <w:p>
            <w:pPr>
              <w:spacing w:line="283" w:lineRule="auto" w:after="0"/>
              <w:jc w:val="right"/>
              <w:bidi/>
            </w:pPr>
            <w:r>
              <w:rPr>
                <w:sz w:val="18"/>
              </w:rPr>
              <w:t>استخدام أخبار النزول في مسائل الاعتقاد والفضائل.</w:t>
            </w:r>
          </w:p>
        </w:tc>
        <w:tc>
          <w:tcPr>
            <w:tcW w:type="dxa" w:w="2635"/>
            <w:vAlign w:val="center"/>
          </w:tcPr>
          <w:p>
            <w:pPr>
              <w:spacing w:line="283" w:lineRule="auto" w:after="0"/>
              <w:jc w:val="right"/>
              <w:bidi/>
            </w:pPr>
            <w:r>
              <w:rPr>
                <w:sz w:val="18"/>
              </w:rPr>
              <w:t>رفع عتبة التحقق في القضايا العقدية.</w:t>
            </w:r>
          </w:p>
        </w:tc>
      </w:tr>
      <w:tr>
        <w:trPr>
          <w:cantSplit/>
        </w:trPr>
        <w:tc>
          <w:tcPr>
            <w:tcW w:type="dxa" w:w="2635"/>
            <w:vAlign w:val="center"/>
          </w:tcPr>
          <w:p>
            <w:pPr>
              <w:spacing w:line="283" w:lineRule="auto" w:after="0"/>
              <w:jc w:val="right"/>
              <w:bidi/>
            </w:pPr>
            <w:r>
              <w:rPr>
                <w:sz w:val="18"/>
              </w:rPr>
              <w:t>المدرسة الإمامية</w:t>
            </w:r>
          </w:p>
        </w:tc>
        <w:tc>
          <w:tcPr>
            <w:tcW w:type="dxa" w:w="2635"/>
            <w:vAlign w:val="center"/>
          </w:tcPr>
          <w:p>
            <w:pPr>
              <w:spacing w:line="283" w:lineRule="auto" w:after="0"/>
              <w:jc w:val="right"/>
              <w:bidi/>
            </w:pPr>
            <w:r>
              <w:rPr>
                <w:sz w:val="18"/>
              </w:rPr>
              <w:t>حفظ روايات تفسيرية ومصاديق مرتبطة بأهل البيت.</w:t>
            </w:r>
          </w:p>
        </w:tc>
        <w:tc>
          <w:tcPr>
            <w:tcW w:type="dxa" w:w="2635"/>
            <w:vAlign w:val="center"/>
          </w:tcPr>
          <w:p>
            <w:pPr>
              <w:spacing w:line="283" w:lineRule="auto" w:after="0"/>
              <w:jc w:val="right"/>
              <w:bidi/>
            </w:pPr>
            <w:r>
              <w:rPr>
                <w:sz w:val="18"/>
              </w:rPr>
              <w:t>فصل المصداق من السبب وتطبيق الميزان على الموافق.</w:t>
            </w:r>
          </w:p>
        </w:tc>
      </w:tr>
      <w:tr>
        <w:trPr>
          <w:cantSplit/>
        </w:trPr>
        <w:tc>
          <w:tcPr>
            <w:tcW w:type="dxa" w:w="2635"/>
            <w:vAlign w:val="center"/>
          </w:tcPr>
          <w:p>
            <w:pPr>
              <w:spacing w:line="283" w:lineRule="auto" w:after="0"/>
              <w:jc w:val="right"/>
              <w:bidi/>
            </w:pPr>
            <w:r>
              <w:rPr>
                <w:sz w:val="18"/>
              </w:rPr>
              <w:t>المدرسة السنية</w:t>
            </w:r>
          </w:p>
        </w:tc>
        <w:tc>
          <w:tcPr>
            <w:tcW w:type="dxa" w:w="2635"/>
            <w:vAlign w:val="center"/>
          </w:tcPr>
          <w:p>
            <w:pPr>
              <w:spacing w:line="283" w:lineRule="auto" w:after="0"/>
              <w:jc w:val="right"/>
              <w:bidi/>
            </w:pPr>
            <w:r>
              <w:rPr>
                <w:sz w:val="18"/>
              </w:rPr>
              <w:t>حفظ روايات واسعة في الصحابة والسيرة والفقه.</w:t>
            </w:r>
          </w:p>
        </w:tc>
        <w:tc>
          <w:tcPr>
            <w:tcW w:type="dxa" w:w="2635"/>
            <w:vAlign w:val="center"/>
          </w:tcPr>
          <w:p>
            <w:pPr>
              <w:spacing w:line="283" w:lineRule="auto" w:after="0"/>
              <w:jc w:val="right"/>
              <w:bidi/>
            </w:pPr>
            <w:r>
              <w:rPr>
                <w:sz w:val="18"/>
              </w:rPr>
              <w:t>فصل الشهرة من التواتر وتطبيق الميزان على الموافق.</w:t>
            </w:r>
          </w:p>
        </w:tc>
      </w:tr>
      <w:tr>
        <w:trPr>
          <w:cantSplit/>
        </w:trPr>
        <w:tc>
          <w:tcPr>
            <w:tcW w:type="dxa" w:w="2635"/>
            <w:vAlign w:val="center"/>
          </w:tcPr>
          <w:p>
            <w:pPr>
              <w:spacing w:line="283" w:lineRule="auto" w:after="0"/>
              <w:jc w:val="right"/>
              <w:bidi/>
            </w:pPr>
            <w:r>
              <w:rPr>
                <w:sz w:val="18"/>
              </w:rPr>
              <w:t>المدرسة التاريخية الحديثة</w:t>
            </w:r>
          </w:p>
        </w:tc>
        <w:tc>
          <w:tcPr>
            <w:tcW w:type="dxa" w:w="2635"/>
            <w:vAlign w:val="center"/>
          </w:tcPr>
          <w:p>
            <w:pPr>
              <w:spacing w:line="283" w:lineRule="auto" w:after="0"/>
              <w:jc w:val="right"/>
              <w:bidi/>
            </w:pPr>
            <w:r>
              <w:rPr>
                <w:sz w:val="18"/>
              </w:rPr>
              <w:t>إعادة بناء السياق الاجتماعي والسياسي.</w:t>
            </w:r>
          </w:p>
        </w:tc>
        <w:tc>
          <w:tcPr>
            <w:tcW w:type="dxa" w:w="2635"/>
            <w:vAlign w:val="center"/>
          </w:tcPr>
          <w:p>
            <w:pPr>
              <w:spacing w:line="283" w:lineRule="auto" w:after="0"/>
              <w:jc w:val="right"/>
              <w:bidi/>
            </w:pPr>
            <w:r>
              <w:rPr>
                <w:sz w:val="18"/>
              </w:rPr>
              <w:t>تمييز الفرضية التاريخية من السبب المنقول.</w:t>
            </w:r>
          </w:p>
        </w:tc>
      </w:tr>
      <w:tr>
        <w:trPr>
          <w:cantSplit/>
        </w:trPr>
        <w:tc>
          <w:tcPr>
            <w:tcW w:type="dxa" w:w="2635"/>
            <w:vAlign w:val="center"/>
          </w:tcPr>
          <w:p>
            <w:pPr>
              <w:spacing w:line="283" w:lineRule="auto" w:after="0"/>
              <w:jc w:val="right"/>
              <w:bidi/>
            </w:pPr>
            <w:r>
              <w:rPr>
                <w:sz w:val="18"/>
              </w:rPr>
              <w:t>المدرسة الأدبية</w:t>
            </w:r>
          </w:p>
        </w:tc>
        <w:tc>
          <w:tcPr>
            <w:tcW w:type="dxa" w:w="2635"/>
            <w:vAlign w:val="center"/>
          </w:tcPr>
          <w:p>
            <w:pPr>
              <w:spacing w:line="283" w:lineRule="auto" w:after="0"/>
              <w:jc w:val="right"/>
              <w:bidi/>
            </w:pPr>
            <w:r>
              <w:rPr>
                <w:sz w:val="18"/>
              </w:rPr>
              <w:t>تقليل الاعتماد على الأخبار لصالح بنية النص.</w:t>
            </w:r>
          </w:p>
        </w:tc>
        <w:tc>
          <w:tcPr>
            <w:tcW w:type="dxa" w:w="2635"/>
            <w:vAlign w:val="center"/>
          </w:tcPr>
          <w:p>
            <w:pPr>
              <w:spacing w:line="283" w:lineRule="auto" w:after="0"/>
              <w:jc w:val="right"/>
              <w:bidi/>
            </w:pPr>
            <w:r>
              <w:rPr>
                <w:sz w:val="18"/>
              </w:rPr>
              <w:t>عدم إهمال الخبر الصحيح حين يفسر مقاماً مؤثراً.</w:t>
            </w:r>
          </w:p>
        </w:tc>
      </w:tr>
      <w:tr>
        <w:trPr>
          <w:cantSplit/>
        </w:trPr>
        <w:tc>
          <w:tcPr>
            <w:tcW w:type="dxa" w:w="2635"/>
            <w:vAlign w:val="center"/>
          </w:tcPr>
          <w:p>
            <w:pPr>
              <w:spacing w:line="283" w:lineRule="auto" w:after="0"/>
              <w:jc w:val="right"/>
              <w:bidi/>
            </w:pPr>
            <w:r>
              <w:rPr>
                <w:sz w:val="18"/>
              </w:rPr>
              <w:t>المدرسة المقاصدية</w:t>
            </w:r>
          </w:p>
        </w:tc>
        <w:tc>
          <w:tcPr>
            <w:tcW w:type="dxa" w:w="2635"/>
            <w:vAlign w:val="center"/>
          </w:tcPr>
          <w:p>
            <w:pPr>
              <w:spacing w:line="283" w:lineRule="auto" w:after="0"/>
              <w:jc w:val="right"/>
              <w:bidi/>
            </w:pPr>
            <w:r>
              <w:rPr>
                <w:sz w:val="18"/>
              </w:rPr>
              <w:t>التركيز على الغاية وراء الواقعة.</w:t>
            </w:r>
          </w:p>
        </w:tc>
        <w:tc>
          <w:tcPr>
            <w:tcW w:type="dxa" w:w="2635"/>
            <w:vAlign w:val="center"/>
          </w:tcPr>
          <w:p>
            <w:pPr>
              <w:spacing w:line="283" w:lineRule="auto" w:after="0"/>
              <w:jc w:val="right"/>
              <w:bidi/>
            </w:pPr>
            <w:r>
              <w:rPr>
                <w:sz w:val="18"/>
              </w:rPr>
              <w:t>منع المقصد من تجاوز النص والثبوت.</w:t>
            </w:r>
          </w:p>
        </w:tc>
      </w:tr>
      <w:tr>
        <w:trPr>
          <w:cantSplit/>
        </w:trPr>
        <w:tc>
          <w:tcPr>
            <w:tcW w:type="dxa" w:w="2635"/>
            <w:vAlign w:val="center"/>
          </w:tcPr>
          <w:p>
            <w:pPr>
              <w:spacing w:line="283" w:lineRule="auto" w:after="0"/>
              <w:jc w:val="right"/>
              <w:bidi/>
            </w:pPr>
            <w:r>
              <w:rPr>
                <w:sz w:val="18"/>
              </w:rPr>
              <w:t>المدرسة الحركية</w:t>
            </w:r>
          </w:p>
        </w:tc>
        <w:tc>
          <w:tcPr>
            <w:tcW w:type="dxa" w:w="2635"/>
            <w:vAlign w:val="center"/>
          </w:tcPr>
          <w:p>
            <w:pPr>
              <w:spacing w:line="283" w:lineRule="auto" w:after="0"/>
              <w:jc w:val="right"/>
              <w:bidi/>
            </w:pPr>
            <w:r>
              <w:rPr>
                <w:sz w:val="18"/>
              </w:rPr>
              <w:t>ربط الآيات بالواقع والصراع الاجتماعي.</w:t>
            </w:r>
          </w:p>
        </w:tc>
        <w:tc>
          <w:tcPr>
            <w:tcW w:type="dxa" w:w="2635"/>
            <w:vAlign w:val="center"/>
          </w:tcPr>
          <w:p>
            <w:pPr>
              <w:spacing w:line="283" w:lineRule="auto" w:after="0"/>
              <w:jc w:val="right"/>
              <w:bidi/>
            </w:pPr>
            <w:r>
              <w:rPr>
                <w:sz w:val="18"/>
              </w:rPr>
              <w:t>منع إسقاط الحاضر على لحظة النزول.</w:t>
            </w:r>
          </w:p>
        </w:tc>
      </w:tr>
      <w:tr>
        <w:trPr>
          <w:cantSplit/>
        </w:trPr>
        <w:tc>
          <w:tcPr>
            <w:tcW w:type="dxa" w:w="2635"/>
            <w:vAlign w:val="center"/>
          </w:tcPr>
          <w:p>
            <w:pPr>
              <w:spacing w:line="283" w:lineRule="auto" w:after="0"/>
              <w:jc w:val="right"/>
              <w:bidi/>
            </w:pPr>
            <w:r>
              <w:rPr>
                <w:sz w:val="18"/>
              </w:rPr>
              <w:t>المدرسة الحاسوبية</w:t>
            </w:r>
          </w:p>
        </w:tc>
        <w:tc>
          <w:tcPr>
            <w:tcW w:type="dxa" w:w="2635"/>
            <w:vAlign w:val="center"/>
          </w:tcPr>
          <w:p>
            <w:pPr>
              <w:spacing w:line="283" w:lineRule="auto" w:after="0"/>
              <w:jc w:val="right"/>
              <w:bidi/>
            </w:pPr>
            <w:r>
              <w:rPr>
                <w:sz w:val="18"/>
              </w:rPr>
              <w:t>قدرة عالية على جمع الصيغ والطرق والمواضع.</w:t>
            </w:r>
          </w:p>
        </w:tc>
        <w:tc>
          <w:tcPr>
            <w:tcW w:type="dxa" w:w="2635"/>
            <w:vAlign w:val="center"/>
          </w:tcPr>
          <w:p>
            <w:pPr>
              <w:spacing w:line="283" w:lineRule="auto" w:after="0"/>
              <w:jc w:val="right"/>
              <w:bidi/>
            </w:pPr>
            <w:r>
              <w:rPr>
                <w:sz w:val="18"/>
              </w:rPr>
              <w:t>منع الخوارزمية من تقرير السببية أو الحجية.</w:t>
            </w:r>
          </w:p>
        </w:tc>
      </w:tr>
    </w:tbl>
    <w:p>
      <w:pPr>
        <w:spacing w:after="20"/>
      </w:pPr>
    </w:p>
    <w:p>
      <w:pPr>
        <w:spacing w:line="283" w:lineRule="auto" w:after="80"/>
        <w:ind w:firstLine="397"/>
        <w:jc w:val="both"/>
        <w:bidi/>
      </w:pPr>
      <w:r>
        <w:t>المحدثون: قوة في الأسانيد وجمع الطرق، مع تفاوت في تحليل وظيفة عبارة «نزلت في». ويكون التصحيح البياني في دمج نقد الطريق بتحليل المتن والسياق.، مع الحفاظ على ما أنجزته المدرسة من أدوات ومادة، وعدم بناء قطيعة مصطنعة معها.</w:t>
      </w:r>
    </w:p>
    <w:p>
      <w:pPr>
        <w:spacing w:line="283" w:lineRule="auto" w:after="80"/>
        <w:ind w:firstLine="397"/>
        <w:jc w:val="both"/>
        <w:bidi/>
      </w:pPr>
      <w:r>
        <w:t>المفسرون بالمأثور: حفظ مادة واسعة من الروايات وأقوال السلف. ويكون التصحيح البياني في فصل السبب من التطبيق والتفسير.، مع الحفاظ على ما أنجزته المدرسة من أدوات ومادة، وعدم بناء قطيعة مصطنعة معها.</w:t>
      </w:r>
    </w:p>
    <w:p>
      <w:pPr>
        <w:spacing w:line="283" w:lineRule="auto" w:after="80"/>
        <w:ind w:firstLine="397"/>
        <w:jc w:val="both"/>
        <w:bidi/>
      </w:pPr>
      <w:r>
        <w:t>الفقهاء: تنبه إلى أثر السبب في العموم والخصوص والمناط. ويكون التصحيح البياني في منع جعل القاعدة الأصولية بديلاً عن تحقيق الخبر.، مع الحفاظ على ما أنجزته المدرسة من أدوات ومادة، وعدم بناء قطيعة مصطنعة معها.</w:t>
      </w:r>
    </w:p>
    <w:p>
      <w:pPr>
        <w:spacing w:line="283" w:lineRule="auto" w:after="80"/>
        <w:ind w:firstLine="397"/>
        <w:jc w:val="both"/>
        <w:bidi/>
      </w:pPr>
      <w:r>
        <w:t>الأصوليون: صياغة قواعد عامة مثل عموم اللفظ وخصوص السبب. ويكون التصحيح البياني في إعادة ربط القواعد بالمدونة المتحققة.، مع الحفاظ على ما أنجزته المدرسة من أدوات ومادة، وعدم بناء قطيعة مصطنعة معها.</w:t>
      </w:r>
    </w:p>
    <w:p>
      <w:pPr>
        <w:spacing w:line="283" w:lineRule="auto" w:after="80"/>
        <w:ind w:firstLine="397"/>
        <w:jc w:val="both"/>
        <w:bidi/>
      </w:pPr>
      <w:r>
        <w:t>المدرسة الكلامية: استخدام أخبار النزول في مسائل الاعتقاد والفضائل. ويكون التصحيح البياني في رفع عتبة التحقق في القضايا العقدية.، مع الحفاظ على ما أنجزته المدرسة من أدوات ومادة، وعدم بناء قطيعة مصطنعة معها.</w:t>
      </w:r>
    </w:p>
    <w:p>
      <w:pPr>
        <w:spacing w:line="283" w:lineRule="auto" w:after="80"/>
        <w:ind w:firstLine="397"/>
        <w:jc w:val="both"/>
        <w:bidi/>
      </w:pPr>
      <w:r>
        <w:t>المدرسة الإمامية: حفظ روايات تفسيرية ومصاديق مرتبطة بأهل البيت. ويكون التصحيح البياني في فصل المصداق من السبب وتطبيق الميزان على الموافق.، مع الحفاظ على ما أنجزته المدرسة من أدوات ومادة، وعدم بناء قطيعة مصطنعة معها.</w:t>
      </w:r>
    </w:p>
    <w:p>
      <w:pPr>
        <w:spacing w:line="283" w:lineRule="auto" w:after="80"/>
        <w:ind w:firstLine="397"/>
        <w:jc w:val="both"/>
        <w:bidi/>
      </w:pPr>
      <w:r>
        <w:t>المدرسة السنية: حفظ روايات واسعة في الصحابة والسيرة والفقه. ويكون التصحيح البياني في فصل الشهرة من التواتر وتطبيق الميزان على الموافق.، مع الحفاظ على ما أنجزته المدرسة من أدوات ومادة، وعدم بناء قطيعة مصطنعة معها.</w:t>
      </w:r>
    </w:p>
    <w:p>
      <w:pPr>
        <w:spacing w:line="283" w:lineRule="auto" w:after="80"/>
        <w:ind w:firstLine="397"/>
        <w:jc w:val="both"/>
        <w:bidi/>
      </w:pPr>
      <w:r>
        <w:t>المدرسة التاريخية الحديثة: إعادة بناء السياق الاجتماعي والسياسي. ويكون التصحيح البياني في تمييز الفرضية التاريخية من السبب المنقول.، مع الحفاظ على ما أنجزته المدرسة من أدوات ومادة، وعدم بناء قطيعة مصطنعة معها.</w:t>
      </w:r>
    </w:p>
    <w:p>
      <w:pPr>
        <w:spacing w:line="283" w:lineRule="auto" w:after="80"/>
        <w:ind w:firstLine="397"/>
        <w:jc w:val="both"/>
        <w:bidi/>
      </w:pPr>
      <w:r>
        <w:t>المدرسة الأدبية: تقليل الاعتماد على الأخبار لصالح بنية النص. ويكون التصحيح البياني في عدم إهمال الخبر الصحيح حين يفسر مقاماً مؤثراً.، مع الحفاظ على ما أنجزته المدرسة من أدوات ومادة، وعدم بناء قطيعة مصطنعة معها.</w:t>
      </w:r>
    </w:p>
    <w:p>
      <w:pPr>
        <w:spacing w:line="283" w:lineRule="auto" w:after="80"/>
        <w:ind w:firstLine="397"/>
        <w:jc w:val="both"/>
        <w:bidi/>
      </w:pPr>
      <w:r>
        <w:t>المدرسة المقاصدية: التركيز على الغاية وراء الواقعة. ويكون التصحيح البياني في منع المقصد من تجاوز النص والثبوت.، مع الحفاظ على ما أنجزته المدرسة من أدوات ومادة، وعدم بناء قطيعة مصطنعة معها.</w:t>
      </w:r>
    </w:p>
    <w:p>
      <w:pPr>
        <w:spacing w:line="283" w:lineRule="auto" w:after="80"/>
        <w:ind w:firstLine="397"/>
        <w:jc w:val="both"/>
        <w:bidi/>
      </w:pPr>
      <w:r>
        <w:t>المدرسة الحركية: ربط الآيات بالواقع والصراع الاجتماعي. ويكون التصحيح البياني في منع إسقاط الحاضر على لحظة النزول.، مع الحفاظ على ما أنجزته المدرسة من أدوات ومادة، وعدم بناء قطيعة مصطنعة معها.</w:t>
      </w:r>
    </w:p>
    <w:p>
      <w:pPr>
        <w:spacing w:line="283" w:lineRule="auto" w:after="80"/>
        <w:ind w:firstLine="397"/>
        <w:jc w:val="both"/>
        <w:bidi/>
      </w:pPr>
      <w:r>
        <w:t>المدرسة الحاسوبية: قدرة عالية على جمع الصيغ والطرق والمواضع. ويكون التصحيح البياني في منع الخوارزمية من تقرير السببية أو الحجية.، مع الحفاظ على ما أنجزته المدرسة من أدوات ومادة، وعدم بناء قطيعة مصطنعة معها.</w:t>
      </w:r>
    </w:p>
    <w:p>
      <w:r>
        <w:br w:type="page"/>
      </w:r>
    </w:p>
    <w:p>
      <w:pPr>
        <w:pStyle w:val="Heading1"/>
        <w:spacing w:line="283" w:lineRule="auto" w:after="120"/>
        <w:jc w:val="right"/>
        <w:keepNext/>
        <w:bidi/>
      </w:pPr>
      <w:r>
        <w:t>الملحق السابع: خوارزمية ملف سبب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م</w:t>
            </w:r>
          </w:p>
        </w:tc>
        <w:tc>
          <w:tcPr>
            <w:tcW w:type="dxa" w:w="3952"/>
            <w:vAlign w:val="center"/>
          </w:tcPr>
          <w:p>
            <w:pPr>
              <w:spacing w:line="283" w:lineRule="auto" w:after="0"/>
              <w:jc w:val="center"/>
              <w:bidi/>
            </w:pPr>
            <w:r>
              <w:rPr>
                <w:b/>
                <w:sz w:val="20"/>
              </w:rPr>
              <w:t>المرحلة</w:t>
            </w:r>
          </w:p>
        </w:tc>
      </w:tr>
      <w:tr>
        <w:trPr>
          <w:cantSplit/>
        </w:trPr>
        <w:tc>
          <w:tcPr>
            <w:tcW w:type="dxa" w:w="3952"/>
            <w:vAlign w:val="center"/>
          </w:tcPr>
          <w:p>
            <w:pPr>
              <w:spacing w:line="283" w:lineRule="auto" w:after="0"/>
              <w:jc w:val="right"/>
              <w:bidi/>
            </w:pPr>
            <w:r>
              <w:rPr>
                <w:sz w:val="20"/>
              </w:rPr>
              <w:t>1</w:t>
            </w:r>
          </w:p>
        </w:tc>
        <w:tc>
          <w:tcPr>
            <w:tcW w:type="dxa" w:w="3952"/>
            <w:vAlign w:val="center"/>
          </w:tcPr>
          <w:p>
            <w:pPr>
              <w:spacing w:line="283" w:lineRule="auto" w:after="0"/>
              <w:jc w:val="right"/>
              <w:bidi/>
            </w:pPr>
            <w:r>
              <w:rPr>
                <w:sz w:val="20"/>
              </w:rPr>
              <w:t>تحرير السؤال التفسيري.</w:t>
            </w:r>
          </w:p>
        </w:tc>
      </w:tr>
      <w:tr>
        <w:trPr>
          <w:cantSplit/>
        </w:trPr>
        <w:tc>
          <w:tcPr>
            <w:tcW w:type="dxa" w:w="3952"/>
            <w:vAlign w:val="center"/>
          </w:tcPr>
          <w:p>
            <w:pPr>
              <w:spacing w:line="283" w:lineRule="auto" w:after="0"/>
              <w:jc w:val="right"/>
              <w:bidi/>
            </w:pPr>
            <w:r>
              <w:rPr>
                <w:sz w:val="20"/>
              </w:rPr>
              <w:t>2</w:t>
            </w:r>
          </w:p>
        </w:tc>
        <w:tc>
          <w:tcPr>
            <w:tcW w:type="dxa" w:w="3952"/>
            <w:vAlign w:val="center"/>
          </w:tcPr>
          <w:p>
            <w:pPr>
              <w:spacing w:line="283" w:lineRule="auto" w:after="0"/>
              <w:jc w:val="right"/>
              <w:bidi/>
            </w:pPr>
            <w:r>
              <w:rPr>
                <w:sz w:val="20"/>
              </w:rPr>
              <w:t>تثبيت نص الآية والقراءات.</w:t>
            </w:r>
          </w:p>
        </w:tc>
      </w:tr>
      <w:tr>
        <w:trPr>
          <w:cantSplit/>
        </w:trPr>
        <w:tc>
          <w:tcPr>
            <w:tcW w:type="dxa" w:w="3952"/>
            <w:vAlign w:val="center"/>
          </w:tcPr>
          <w:p>
            <w:pPr>
              <w:spacing w:line="283" w:lineRule="auto" w:after="0"/>
              <w:jc w:val="right"/>
              <w:bidi/>
            </w:pPr>
            <w:r>
              <w:rPr>
                <w:sz w:val="20"/>
              </w:rPr>
              <w:t>3</w:t>
            </w:r>
          </w:p>
        </w:tc>
        <w:tc>
          <w:tcPr>
            <w:tcW w:type="dxa" w:w="3952"/>
            <w:vAlign w:val="center"/>
          </w:tcPr>
          <w:p>
            <w:pPr>
              <w:spacing w:line="283" w:lineRule="auto" w:after="0"/>
              <w:jc w:val="right"/>
              <w:bidi/>
            </w:pPr>
            <w:r>
              <w:rPr>
                <w:sz w:val="20"/>
              </w:rPr>
              <w:t>تحليل المقطع والسورة.</w:t>
            </w:r>
          </w:p>
        </w:tc>
      </w:tr>
      <w:tr>
        <w:trPr>
          <w:cantSplit/>
        </w:trPr>
        <w:tc>
          <w:tcPr>
            <w:tcW w:type="dxa" w:w="3952"/>
            <w:vAlign w:val="center"/>
          </w:tcPr>
          <w:p>
            <w:pPr>
              <w:spacing w:line="283" w:lineRule="auto" w:after="0"/>
              <w:jc w:val="right"/>
              <w:bidi/>
            </w:pPr>
            <w:r>
              <w:rPr>
                <w:sz w:val="20"/>
              </w:rPr>
              <w:t>4</w:t>
            </w:r>
          </w:p>
        </w:tc>
        <w:tc>
          <w:tcPr>
            <w:tcW w:type="dxa" w:w="3952"/>
            <w:vAlign w:val="center"/>
          </w:tcPr>
          <w:p>
            <w:pPr>
              <w:spacing w:line="283" w:lineRule="auto" w:after="0"/>
              <w:jc w:val="right"/>
              <w:bidi/>
            </w:pPr>
            <w:r>
              <w:rPr>
                <w:sz w:val="20"/>
              </w:rPr>
              <w:t>جمع جميع أخبار النزول.</w:t>
            </w:r>
          </w:p>
        </w:tc>
      </w:tr>
      <w:tr>
        <w:trPr>
          <w:cantSplit/>
        </w:trPr>
        <w:tc>
          <w:tcPr>
            <w:tcW w:type="dxa" w:w="3952"/>
            <w:vAlign w:val="center"/>
          </w:tcPr>
          <w:p>
            <w:pPr>
              <w:spacing w:line="283" w:lineRule="auto" w:after="0"/>
              <w:jc w:val="right"/>
              <w:bidi/>
            </w:pPr>
            <w:r>
              <w:rPr>
                <w:sz w:val="20"/>
              </w:rPr>
              <w:t>5</w:t>
            </w:r>
          </w:p>
        </w:tc>
        <w:tc>
          <w:tcPr>
            <w:tcW w:type="dxa" w:w="3952"/>
            <w:vAlign w:val="center"/>
          </w:tcPr>
          <w:p>
            <w:pPr>
              <w:spacing w:line="283" w:lineRule="auto" w:after="0"/>
              <w:jc w:val="right"/>
              <w:bidi/>
            </w:pPr>
            <w:r>
              <w:rPr>
                <w:sz w:val="20"/>
              </w:rPr>
              <w:t>توحيد المصادر والألفاظ.</w:t>
            </w:r>
          </w:p>
        </w:tc>
      </w:tr>
      <w:tr>
        <w:trPr>
          <w:cantSplit/>
        </w:trPr>
        <w:tc>
          <w:tcPr>
            <w:tcW w:type="dxa" w:w="3952"/>
            <w:vAlign w:val="center"/>
          </w:tcPr>
          <w:p>
            <w:pPr>
              <w:spacing w:line="283" w:lineRule="auto" w:after="0"/>
              <w:jc w:val="right"/>
              <w:bidi/>
            </w:pPr>
            <w:r>
              <w:rPr>
                <w:sz w:val="20"/>
              </w:rPr>
              <w:t>6</w:t>
            </w:r>
          </w:p>
        </w:tc>
        <w:tc>
          <w:tcPr>
            <w:tcW w:type="dxa" w:w="3952"/>
            <w:vAlign w:val="center"/>
          </w:tcPr>
          <w:p>
            <w:pPr>
              <w:spacing w:line="283" w:lineRule="auto" w:after="0"/>
              <w:jc w:val="right"/>
              <w:bidi/>
            </w:pPr>
            <w:r>
              <w:rPr>
                <w:sz w:val="20"/>
              </w:rPr>
              <w:t>تحليل الأسانيد والكتب.</w:t>
            </w:r>
          </w:p>
        </w:tc>
      </w:tr>
      <w:tr>
        <w:trPr>
          <w:cantSplit/>
        </w:trPr>
        <w:tc>
          <w:tcPr>
            <w:tcW w:type="dxa" w:w="3952"/>
            <w:vAlign w:val="center"/>
          </w:tcPr>
          <w:p>
            <w:pPr>
              <w:spacing w:line="283" w:lineRule="auto" w:after="0"/>
              <w:jc w:val="right"/>
              <w:bidi/>
            </w:pPr>
            <w:r>
              <w:rPr>
                <w:sz w:val="20"/>
              </w:rPr>
              <w:t>7</w:t>
            </w:r>
          </w:p>
        </w:tc>
        <w:tc>
          <w:tcPr>
            <w:tcW w:type="dxa" w:w="3952"/>
            <w:vAlign w:val="center"/>
          </w:tcPr>
          <w:p>
            <w:pPr>
              <w:spacing w:line="283" w:lineRule="auto" w:after="0"/>
              <w:jc w:val="right"/>
              <w:bidi/>
            </w:pPr>
            <w:r>
              <w:rPr>
                <w:sz w:val="20"/>
              </w:rPr>
              <w:t>تحديد الأصول المشتركة.</w:t>
            </w:r>
          </w:p>
        </w:tc>
      </w:tr>
      <w:tr>
        <w:trPr>
          <w:cantSplit/>
        </w:trPr>
        <w:tc>
          <w:tcPr>
            <w:tcW w:type="dxa" w:w="3952"/>
            <w:vAlign w:val="center"/>
          </w:tcPr>
          <w:p>
            <w:pPr>
              <w:spacing w:line="283" w:lineRule="auto" w:after="0"/>
              <w:jc w:val="right"/>
              <w:bidi/>
            </w:pPr>
            <w:r>
              <w:rPr>
                <w:sz w:val="20"/>
              </w:rPr>
              <w:t>8</w:t>
            </w:r>
          </w:p>
        </w:tc>
        <w:tc>
          <w:tcPr>
            <w:tcW w:type="dxa" w:w="3952"/>
            <w:vAlign w:val="center"/>
          </w:tcPr>
          <w:p>
            <w:pPr>
              <w:spacing w:line="283" w:lineRule="auto" w:after="0"/>
              <w:jc w:val="right"/>
              <w:bidi/>
            </w:pPr>
            <w:r>
              <w:rPr>
                <w:sz w:val="20"/>
              </w:rPr>
              <w:t>مقارنة المتون والزيادات.</w:t>
            </w:r>
          </w:p>
        </w:tc>
      </w:tr>
      <w:tr>
        <w:trPr>
          <w:cantSplit/>
        </w:trPr>
        <w:tc>
          <w:tcPr>
            <w:tcW w:type="dxa" w:w="3952"/>
            <w:vAlign w:val="center"/>
          </w:tcPr>
          <w:p>
            <w:pPr>
              <w:spacing w:line="283" w:lineRule="auto" w:after="0"/>
              <w:jc w:val="right"/>
              <w:bidi/>
            </w:pPr>
            <w:r>
              <w:rPr>
                <w:sz w:val="20"/>
              </w:rPr>
              <w:t>9</w:t>
            </w:r>
          </w:p>
        </w:tc>
        <w:tc>
          <w:tcPr>
            <w:tcW w:type="dxa" w:w="3952"/>
            <w:vAlign w:val="center"/>
          </w:tcPr>
          <w:p>
            <w:pPr>
              <w:spacing w:line="283" w:lineRule="auto" w:after="0"/>
              <w:jc w:val="right"/>
              <w:bidi/>
            </w:pPr>
            <w:r>
              <w:rPr>
                <w:sz w:val="20"/>
              </w:rPr>
              <w:t>تصنيف صيغة العلاقة بالآية.</w:t>
            </w:r>
          </w:p>
        </w:tc>
      </w:tr>
      <w:tr>
        <w:trPr>
          <w:cantSplit/>
        </w:trPr>
        <w:tc>
          <w:tcPr>
            <w:tcW w:type="dxa" w:w="3952"/>
            <w:vAlign w:val="center"/>
          </w:tcPr>
          <w:p>
            <w:pPr>
              <w:spacing w:line="283" w:lineRule="auto" w:after="0"/>
              <w:jc w:val="right"/>
              <w:bidi/>
            </w:pPr>
            <w:r>
              <w:rPr>
                <w:sz w:val="20"/>
              </w:rPr>
              <w:t>10</w:t>
            </w:r>
          </w:p>
        </w:tc>
        <w:tc>
          <w:tcPr>
            <w:tcW w:type="dxa" w:w="3952"/>
            <w:vAlign w:val="center"/>
          </w:tcPr>
          <w:p>
            <w:pPr>
              <w:spacing w:line="283" w:lineRule="auto" w:after="0"/>
              <w:jc w:val="right"/>
              <w:bidi/>
            </w:pPr>
            <w:r>
              <w:rPr>
                <w:sz w:val="20"/>
              </w:rPr>
              <w:t>تعيين السبب أو المصداق أو التطبيق.</w:t>
            </w:r>
          </w:p>
        </w:tc>
      </w:tr>
      <w:tr>
        <w:trPr>
          <w:cantSplit/>
        </w:trPr>
        <w:tc>
          <w:tcPr>
            <w:tcW w:type="dxa" w:w="3952"/>
            <w:vAlign w:val="center"/>
          </w:tcPr>
          <w:p>
            <w:pPr>
              <w:spacing w:line="283" w:lineRule="auto" w:after="0"/>
              <w:jc w:val="right"/>
              <w:bidi/>
            </w:pPr>
            <w:r>
              <w:rPr>
                <w:sz w:val="20"/>
              </w:rPr>
              <w:t>11</w:t>
            </w:r>
          </w:p>
        </w:tc>
        <w:tc>
          <w:tcPr>
            <w:tcW w:type="dxa" w:w="3952"/>
            <w:vAlign w:val="center"/>
          </w:tcPr>
          <w:p>
            <w:pPr>
              <w:spacing w:line="283" w:lineRule="auto" w:after="0"/>
              <w:jc w:val="right"/>
              <w:bidi/>
            </w:pPr>
            <w:r>
              <w:rPr>
                <w:sz w:val="20"/>
              </w:rPr>
              <w:t>تحليل المكي والمدني والزمن.</w:t>
            </w:r>
          </w:p>
        </w:tc>
      </w:tr>
      <w:tr>
        <w:trPr>
          <w:cantSplit/>
        </w:trPr>
        <w:tc>
          <w:tcPr>
            <w:tcW w:type="dxa" w:w="3952"/>
            <w:vAlign w:val="center"/>
          </w:tcPr>
          <w:p>
            <w:pPr>
              <w:spacing w:line="283" w:lineRule="auto" w:after="0"/>
              <w:jc w:val="right"/>
              <w:bidi/>
            </w:pPr>
            <w:r>
              <w:rPr>
                <w:sz w:val="20"/>
              </w:rPr>
              <w:t>12</w:t>
            </w:r>
          </w:p>
        </w:tc>
        <w:tc>
          <w:tcPr>
            <w:tcW w:type="dxa" w:w="3952"/>
            <w:vAlign w:val="center"/>
          </w:tcPr>
          <w:p>
            <w:pPr>
              <w:spacing w:line="283" w:lineRule="auto" w:after="0"/>
              <w:jc w:val="right"/>
              <w:bidi/>
            </w:pPr>
            <w:r>
              <w:rPr>
                <w:sz w:val="20"/>
              </w:rPr>
              <w:t>فحص اتساق الخبر مع السياق الداخلي.</w:t>
            </w:r>
          </w:p>
        </w:tc>
      </w:tr>
      <w:tr>
        <w:trPr>
          <w:cantSplit/>
        </w:trPr>
        <w:tc>
          <w:tcPr>
            <w:tcW w:type="dxa" w:w="3952"/>
            <w:vAlign w:val="center"/>
          </w:tcPr>
          <w:p>
            <w:pPr>
              <w:spacing w:line="283" w:lineRule="auto" w:after="0"/>
              <w:jc w:val="right"/>
              <w:bidi/>
            </w:pPr>
            <w:r>
              <w:rPr>
                <w:sz w:val="20"/>
              </w:rPr>
              <w:t>13</w:t>
            </w:r>
          </w:p>
        </w:tc>
        <w:tc>
          <w:tcPr>
            <w:tcW w:type="dxa" w:w="3952"/>
            <w:vAlign w:val="center"/>
          </w:tcPr>
          <w:p>
            <w:pPr>
              <w:spacing w:line="283" w:lineRule="auto" w:after="0"/>
              <w:jc w:val="right"/>
              <w:bidi/>
            </w:pPr>
            <w:r>
              <w:rPr>
                <w:sz w:val="20"/>
              </w:rPr>
              <w:t>قياس أثر الخبر في الدلالة.</w:t>
            </w:r>
          </w:p>
        </w:tc>
      </w:tr>
      <w:tr>
        <w:trPr>
          <w:cantSplit/>
        </w:trPr>
        <w:tc>
          <w:tcPr>
            <w:tcW w:type="dxa" w:w="3952"/>
            <w:vAlign w:val="center"/>
          </w:tcPr>
          <w:p>
            <w:pPr>
              <w:spacing w:line="283" w:lineRule="auto" w:after="0"/>
              <w:jc w:val="right"/>
              <w:bidi/>
            </w:pPr>
            <w:r>
              <w:rPr>
                <w:sz w:val="20"/>
              </w:rPr>
              <w:t>14</w:t>
            </w:r>
          </w:p>
        </w:tc>
        <w:tc>
          <w:tcPr>
            <w:tcW w:type="dxa" w:w="3952"/>
            <w:vAlign w:val="center"/>
          </w:tcPr>
          <w:p>
            <w:pPr>
              <w:spacing w:line="283" w:lineRule="auto" w:after="0"/>
              <w:jc w:val="right"/>
              <w:bidi/>
            </w:pPr>
            <w:r>
              <w:rPr>
                <w:sz w:val="20"/>
              </w:rPr>
              <w:t>اختبار العموم والخصوص.</w:t>
            </w:r>
          </w:p>
        </w:tc>
      </w:tr>
      <w:tr>
        <w:trPr>
          <w:cantSplit/>
        </w:trPr>
        <w:tc>
          <w:tcPr>
            <w:tcW w:type="dxa" w:w="3952"/>
            <w:vAlign w:val="center"/>
          </w:tcPr>
          <w:p>
            <w:pPr>
              <w:spacing w:line="283" w:lineRule="auto" w:after="0"/>
              <w:jc w:val="right"/>
              <w:bidi/>
            </w:pPr>
            <w:r>
              <w:rPr>
                <w:sz w:val="20"/>
              </w:rPr>
              <w:t>15</w:t>
            </w:r>
          </w:p>
        </w:tc>
        <w:tc>
          <w:tcPr>
            <w:tcW w:type="dxa" w:w="3952"/>
            <w:vAlign w:val="center"/>
          </w:tcPr>
          <w:p>
            <w:pPr>
              <w:spacing w:line="283" w:lineRule="auto" w:after="0"/>
              <w:jc w:val="right"/>
              <w:bidi/>
            </w:pPr>
            <w:r>
              <w:rPr>
                <w:sz w:val="20"/>
              </w:rPr>
              <w:t>بناء قراءة بلا الخبر.</w:t>
            </w:r>
          </w:p>
        </w:tc>
      </w:tr>
      <w:tr>
        <w:trPr>
          <w:cantSplit/>
        </w:trPr>
        <w:tc>
          <w:tcPr>
            <w:tcW w:type="dxa" w:w="3952"/>
            <w:vAlign w:val="center"/>
          </w:tcPr>
          <w:p>
            <w:pPr>
              <w:spacing w:line="283" w:lineRule="auto" w:after="0"/>
              <w:jc w:val="right"/>
              <w:bidi/>
            </w:pPr>
            <w:r>
              <w:rPr>
                <w:sz w:val="20"/>
              </w:rPr>
              <w:t>16</w:t>
            </w:r>
          </w:p>
        </w:tc>
        <w:tc>
          <w:tcPr>
            <w:tcW w:type="dxa" w:w="3952"/>
            <w:vAlign w:val="center"/>
          </w:tcPr>
          <w:p>
            <w:pPr>
              <w:spacing w:line="283" w:lineRule="auto" w:after="0"/>
              <w:jc w:val="right"/>
              <w:bidi/>
            </w:pPr>
            <w:r>
              <w:rPr>
                <w:sz w:val="20"/>
              </w:rPr>
              <w:t>بناء فرضية تاريخية منافسة.</w:t>
            </w:r>
          </w:p>
        </w:tc>
      </w:tr>
      <w:tr>
        <w:trPr>
          <w:cantSplit/>
        </w:trPr>
        <w:tc>
          <w:tcPr>
            <w:tcW w:type="dxa" w:w="3952"/>
            <w:vAlign w:val="center"/>
          </w:tcPr>
          <w:p>
            <w:pPr>
              <w:spacing w:line="283" w:lineRule="auto" w:after="0"/>
              <w:jc w:val="right"/>
              <w:bidi/>
            </w:pPr>
            <w:r>
              <w:rPr>
                <w:sz w:val="20"/>
              </w:rPr>
              <w:t>17</w:t>
            </w:r>
          </w:p>
        </w:tc>
        <w:tc>
          <w:tcPr>
            <w:tcW w:type="dxa" w:w="3952"/>
            <w:vAlign w:val="center"/>
          </w:tcPr>
          <w:p>
            <w:pPr>
              <w:spacing w:line="283" w:lineRule="auto" w:after="0"/>
              <w:jc w:val="right"/>
              <w:bidi/>
            </w:pPr>
            <w:r>
              <w:rPr>
                <w:sz w:val="20"/>
              </w:rPr>
              <w:t>تحديد مجال الحجية.</w:t>
            </w:r>
          </w:p>
        </w:tc>
      </w:tr>
      <w:tr>
        <w:trPr>
          <w:cantSplit/>
        </w:trPr>
        <w:tc>
          <w:tcPr>
            <w:tcW w:type="dxa" w:w="3952"/>
            <w:vAlign w:val="center"/>
          </w:tcPr>
          <w:p>
            <w:pPr>
              <w:spacing w:line="283" w:lineRule="auto" w:after="0"/>
              <w:jc w:val="right"/>
              <w:bidi/>
            </w:pPr>
            <w:r>
              <w:rPr>
                <w:sz w:val="20"/>
              </w:rPr>
              <w:t>18</w:t>
            </w:r>
          </w:p>
        </w:tc>
        <w:tc>
          <w:tcPr>
            <w:tcW w:type="dxa" w:w="3952"/>
            <w:vAlign w:val="center"/>
          </w:tcPr>
          <w:p>
            <w:pPr>
              <w:spacing w:line="283" w:lineRule="auto" w:after="0"/>
              <w:jc w:val="right"/>
              <w:bidi/>
            </w:pPr>
            <w:r>
              <w:rPr>
                <w:sz w:val="20"/>
              </w:rPr>
              <w:t>تسجيل القرائن النافية.</w:t>
            </w:r>
          </w:p>
        </w:tc>
      </w:tr>
      <w:tr>
        <w:trPr>
          <w:cantSplit/>
        </w:trPr>
        <w:tc>
          <w:tcPr>
            <w:tcW w:type="dxa" w:w="3952"/>
            <w:vAlign w:val="center"/>
          </w:tcPr>
          <w:p>
            <w:pPr>
              <w:spacing w:line="283" w:lineRule="auto" w:after="0"/>
              <w:jc w:val="right"/>
              <w:bidi/>
            </w:pPr>
            <w:r>
              <w:rPr>
                <w:sz w:val="20"/>
              </w:rPr>
              <w:t>19</w:t>
            </w:r>
          </w:p>
        </w:tc>
        <w:tc>
          <w:tcPr>
            <w:tcW w:type="dxa" w:w="3952"/>
            <w:vAlign w:val="center"/>
          </w:tcPr>
          <w:p>
            <w:pPr>
              <w:spacing w:line="283" w:lineRule="auto" w:after="0"/>
              <w:jc w:val="right"/>
              <w:bidi/>
            </w:pPr>
            <w:r>
              <w:rPr>
                <w:sz w:val="20"/>
              </w:rPr>
              <w:t>صياغة الحكم بدرجته وحدوده.</w:t>
            </w:r>
          </w:p>
        </w:tc>
      </w:tr>
      <w:tr>
        <w:trPr>
          <w:cantSplit/>
        </w:trPr>
        <w:tc>
          <w:tcPr>
            <w:tcW w:type="dxa" w:w="3952"/>
            <w:vAlign w:val="center"/>
          </w:tcPr>
          <w:p>
            <w:pPr>
              <w:spacing w:line="283" w:lineRule="auto" w:after="0"/>
              <w:jc w:val="right"/>
              <w:bidi/>
            </w:pPr>
            <w:r>
              <w:rPr>
                <w:sz w:val="20"/>
              </w:rPr>
              <w:t>20</w:t>
            </w:r>
          </w:p>
        </w:tc>
        <w:tc>
          <w:tcPr>
            <w:tcW w:type="dxa" w:w="3952"/>
            <w:vAlign w:val="center"/>
          </w:tcPr>
          <w:p>
            <w:pPr>
              <w:spacing w:line="283" w:lineRule="auto" w:after="0"/>
              <w:jc w:val="right"/>
              <w:bidi/>
            </w:pPr>
            <w:r>
              <w:rPr>
                <w:sz w:val="20"/>
              </w:rPr>
              <w:t>المراجعة المستقلة والإصدار.</w:t>
            </w:r>
          </w:p>
        </w:tc>
      </w:tr>
    </w:tbl>
    <w:p>
      <w:pPr>
        <w:spacing w:after="20"/>
      </w:pPr>
    </w:p>
    <w:p>
      <w:pPr>
        <w:spacing w:line="283" w:lineRule="auto" w:after="80"/>
        <w:ind w:firstLine="397"/>
        <w:jc w:val="both"/>
        <w:bidi/>
      </w:pPr>
      <w:r>
        <w:t>المرحلة 1: تحرير السؤال التفسيري.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2: تثبيت نص الآية والقراءات.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3: تحليل المقطع والسورة.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4: جمع جميع أخبار النزول.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5: توحيد المصادر والألفاظ.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6: تحليل الأسانيد والكتب.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7: تحديد الأصول المشتركة.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8: مقارنة المتون والزيادات.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9: تصنيف صيغة العلاقة بالآية.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10: تعيين السبب أو المصداق أو التطبيق.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11: تحليل المكي والمدني والزمن.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12: فحص اتساق الخبر مع السياق الداخلي.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13: قياس أثر الخبر في الدلالة.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14: اختبار العموم والخصوص.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15: بناء قراءة بلا الخبر.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16: بناء فرضية تاريخية منافسة.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17: تحديد مجال الحجية.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18: تسجيل القرائن النافية.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19: صياغة الحكم بدرجته وحدوده. ولا تُعد مكتملةً بمجرد تعبئة حقل، بل بوجود مادة موثقة وتعليل يمكن لباحث آخر مراجعته. وإذا كان النقص جوهرياً خُفض الحكم أو أوقف الملف.</w:t>
      </w:r>
    </w:p>
    <w:p>
      <w:pPr>
        <w:spacing w:line="283" w:lineRule="auto" w:after="80"/>
        <w:ind w:firstLine="397"/>
        <w:jc w:val="both"/>
        <w:bidi/>
      </w:pPr>
      <w:r>
        <w:t>المرحلة 20: المراجعة المستقلة والإصدار. ولا تُعد مكتملةً بمجرد تعبئة حقل، بل بوجود مادة موثقة وتعليل يمكن لباحث آخر مراجعته. وإذا كان النقص جوهرياً خُفض الحكم أو أوقف الملف.</w:t>
      </w:r>
    </w:p>
    <w:p>
      <w:r>
        <w:br w:type="page"/>
      </w:r>
    </w:p>
    <w:p>
      <w:pPr>
        <w:pStyle w:val="Heading1"/>
        <w:spacing w:line="283" w:lineRule="auto" w:after="120"/>
        <w:jc w:val="right"/>
        <w:keepNext/>
        <w:bidi/>
      </w:pPr>
      <w:r>
        <w:t>الملحق الثامن: المصفوفة الحاسوبية لأسباب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الوظيفة</w:t>
            </w:r>
          </w:p>
        </w:tc>
      </w:tr>
      <w:tr>
        <w:trPr>
          <w:cantSplit/>
        </w:trPr>
        <w:tc>
          <w:tcPr>
            <w:tcW w:type="dxa" w:w="3952"/>
            <w:vAlign w:val="center"/>
          </w:tcPr>
          <w:p>
            <w:pPr>
              <w:spacing w:line="283" w:lineRule="auto" w:after="0"/>
              <w:jc w:val="right"/>
              <w:bidi/>
            </w:pPr>
            <w:r>
              <w:rPr>
                <w:sz w:val="18"/>
              </w:rPr>
              <w:t>claim_id</w:t>
            </w:r>
          </w:p>
        </w:tc>
        <w:tc>
          <w:tcPr>
            <w:tcW w:type="dxa" w:w="3952"/>
            <w:vAlign w:val="center"/>
          </w:tcPr>
          <w:p>
            <w:pPr>
              <w:spacing w:line="283" w:lineRule="auto" w:after="0"/>
              <w:jc w:val="right"/>
              <w:bidi/>
            </w:pPr>
            <w:r>
              <w:rPr>
                <w:sz w:val="18"/>
              </w:rPr>
              <w:t>معرف دعوى سبب النزول.</w:t>
            </w:r>
          </w:p>
        </w:tc>
      </w:tr>
      <w:tr>
        <w:trPr>
          <w:cantSplit/>
        </w:trPr>
        <w:tc>
          <w:tcPr>
            <w:tcW w:type="dxa" w:w="3952"/>
            <w:vAlign w:val="center"/>
          </w:tcPr>
          <w:p>
            <w:pPr>
              <w:spacing w:line="283" w:lineRule="auto" w:after="0"/>
              <w:jc w:val="right"/>
              <w:bidi/>
            </w:pPr>
            <w:r>
              <w:rPr>
                <w:sz w:val="18"/>
              </w:rPr>
              <w:t>surah_ayah</w:t>
            </w:r>
          </w:p>
        </w:tc>
        <w:tc>
          <w:tcPr>
            <w:tcW w:type="dxa" w:w="3952"/>
            <w:vAlign w:val="center"/>
          </w:tcPr>
          <w:p>
            <w:pPr>
              <w:spacing w:line="283" w:lineRule="auto" w:after="0"/>
              <w:jc w:val="right"/>
              <w:bidi/>
            </w:pPr>
            <w:r>
              <w:rPr>
                <w:sz w:val="18"/>
              </w:rPr>
              <w:t>السورة والآية أو المقطع.</w:t>
            </w:r>
          </w:p>
        </w:tc>
      </w:tr>
      <w:tr>
        <w:trPr>
          <w:cantSplit/>
        </w:trPr>
        <w:tc>
          <w:tcPr>
            <w:tcW w:type="dxa" w:w="3952"/>
            <w:vAlign w:val="center"/>
          </w:tcPr>
          <w:p>
            <w:pPr>
              <w:spacing w:line="283" w:lineRule="auto" w:after="0"/>
              <w:jc w:val="right"/>
              <w:bidi/>
            </w:pPr>
            <w:r>
              <w:rPr>
                <w:sz w:val="18"/>
              </w:rPr>
              <w:t>quran_text</w:t>
            </w:r>
          </w:p>
        </w:tc>
        <w:tc>
          <w:tcPr>
            <w:tcW w:type="dxa" w:w="3952"/>
            <w:vAlign w:val="center"/>
          </w:tcPr>
          <w:p>
            <w:pPr>
              <w:spacing w:line="283" w:lineRule="auto" w:after="0"/>
              <w:jc w:val="right"/>
              <w:bidi/>
            </w:pPr>
            <w:r>
              <w:rPr>
                <w:sz w:val="18"/>
              </w:rPr>
              <w:t>النص القرآني المعتمد.</w:t>
            </w:r>
          </w:p>
        </w:tc>
      </w:tr>
      <w:tr>
        <w:trPr>
          <w:cantSplit/>
        </w:trPr>
        <w:tc>
          <w:tcPr>
            <w:tcW w:type="dxa" w:w="3952"/>
            <w:vAlign w:val="center"/>
          </w:tcPr>
          <w:p>
            <w:pPr>
              <w:spacing w:line="283" w:lineRule="auto" w:after="0"/>
              <w:jc w:val="right"/>
              <w:bidi/>
            </w:pPr>
            <w:r>
              <w:rPr>
                <w:sz w:val="18"/>
              </w:rPr>
              <w:t>reading</w:t>
            </w:r>
          </w:p>
        </w:tc>
        <w:tc>
          <w:tcPr>
            <w:tcW w:type="dxa" w:w="3952"/>
            <w:vAlign w:val="center"/>
          </w:tcPr>
          <w:p>
            <w:pPr>
              <w:spacing w:line="283" w:lineRule="auto" w:after="0"/>
              <w:jc w:val="right"/>
              <w:bidi/>
            </w:pPr>
            <w:r>
              <w:rPr>
                <w:sz w:val="18"/>
              </w:rPr>
              <w:t>القراءة ذات الصلة إن وجدت.</w:t>
            </w:r>
          </w:p>
        </w:tc>
      </w:tr>
      <w:tr>
        <w:trPr>
          <w:cantSplit/>
        </w:trPr>
        <w:tc>
          <w:tcPr>
            <w:tcW w:type="dxa" w:w="3952"/>
            <w:vAlign w:val="center"/>
          </w:tcPr>
          <w:p>
            <w:pPr>
              <w:spacing w:line="283" w:lineRule="auto" w:after="0"/>
              <w:jc w:val="right"/>
              <w:bidi/>
            </w:pPr>
            <w:r>
              <w:rPr>
                <w:sz w:val="18"/>
              </w:rPr>
              <w:t>report_text</w:t>
            </w:r>
          </w:p>
        </w:tc>
        <w:tc>
          <w:tcPr>
            <w:tcW w:type="dxa" w:w="3952"/>
            <w:vAlign w:val="center"/>
          </w:tcPr>
          <w:p>
            <w:pPr>
              <w:spacing w:line="283" w:lineRule="auto" w:after="0"/>
              <w:jc w:val="right"/>
              <w:bidi/>
            </w:pPr>
            <w:r>
              <w:rPr>
                <w:sz w:val="18"/>
              </w:rPr>
              <w:t>نص رواية النزول.</w:t>
            </w:r>
          </w:p>
        </w:tc>
      </w:tr>
      <w:tr>
        <w:trPr>
          <w:cantSplit/>
        </w:trPr>
        <w:tc>
          <w:tcPr>
            <w:tcW w:type="dxa" w:w="3952"/>
            <w:vAlign w:val="center"/>
          </w:tcPr>
          <w:p>
            <w:pPr>
              <w:spacing w:line="283" w:lineRule="auto" w:after="0"/>
              <w:jc w:val="right"/>
              <w:bidi/>
            </w:pPr>
            <w:r>
              <w:rPr>
                <w:sz w:val="18"/>
              </w:rPr>
              <w:t>source</w:t>
            </w:r>
          </w:p>
        </w:tc>
        <w:tc>
          <w:tcPr>
            <w:tcW w:type="dxa" w:w="3952"/>
            <w:vAlign w:val="center"/>
          </w:tcPr>
          <w:p>
            <w:pPr>
              <w:spacing w:line="283" w:lineRule="auto" w:after="0"/>
              <w:jc w:val="right"/>
              <w:bidi/>
            </w:pPr>
            <w:r>
              <w:rPr>
                <w:sz w:val="18"/>
              </w:rPr>
              <w:t>المصدر والموضع.</w:t>
            </w:r>
          </w:p>
        </w:tc>
      </w:tr>
      <w:tr>
        <w:trPr>
          <w:cantSplit/>
        </w:trPr>
        <w:tc>
          <w:tcPr>
            <w:tcW w:type="dxa" w:w="3952"/>
            <w:vAlign w:val="center"/>
          </w:tcPr>
          <w:p>
            <w:pPr>
              <w:spacing w:line="283" w:lineRule="auto" w:after="0"/>
              <w:jc w:val="right"/>
              <w:bidi/>
            </w:pPr>
            <w:r>
              <w:rPr>
                <w:sz w:val="18"/>
              </w:rPr>
              <w:t>isnad</w:t>
            </w:r>
          </w:p>
        </w:tc>
        <w:tc>
          <w:tcPr>
            <w:tcW w:type="dxa" w:w="3952"/>
            <w:vAlign w:val="center"/>
          </w:tcPr>
          <w:p>
            <w:pPr>
              <w:spacing w:line="283" w:lineRule="auto" w:after="0"/>
              <w:jc w:val="right"/>
              <w:bidi/>
            </w:pPr>
            <w:r>
              <w:rPr>
                <w:sz w:val="18"/>
              </w:rPr>
              <w:t>الإسناد ومسار الكتاب.</w:t>
            </w:r>
          </w:p>
        </w:tc>
      </w:tr>
      <w:tr>
        <w:trPr>
          <w:cantSplit/>
        </w:trPr>
        <w:tc>
          <w:tcPr>
            <w:tcW w:type="dxa" w:w="3952"/>
            <w:vAlign w:val="center"/>
          </w:tcPr>
          <w:p>
            <w:pPr>
              <w:spacing w:line="283" w:lineRule="auto" w:after="0"/>
              <w:jc w:val="right"/>
              <w:bidi/>
            </w:pPr>
            <w:r>
              <w:rPr>
                <w:sz w:val="18"/>
              </w:rPr>
              <w:t>report_type</w:t>
            </w:r>
          </w:p>
        </w:tc>
        <w:tc>
          <w:tcPr>
            <w:tcW w:type="dxa" w:w="3952"/>
            <w:vAlign w:val="center"/>
          </w:tcPr>
          <w:p>
            <w:pPr>
              <w:spacing w:line="283" w:lineRule="auto" w:after="0"/>
              <w:jc w:val="right"/>
              <w:bidi/>
            </w:pPr>
            <w:r>
              <w:rPr>
                <w:sz w:val="18"/>
              </w:rPr>
              <w:t>سبب/سؤال/مصداق/تطبيق/تفسير.</w:t>
            </w:r>
          </w:p>
        </w:tc>
      </w:tr>
      <w:tr>
        <w:trPr>
          <w:cantSplit/>
        </w:trPr>
        <w:tc>
          <w:tcPr>
            <w:tcW w:type="dxa" w:w="3952"/>
            <w:vAlign w:val="center"/>
          </w:tcPr>
          <w:p>
            <w:pPr>
              <w:spacing w:line="283" w:lineRule="auto" w:after="0"/>
              <w:jc w:val="right"/>
              <w:bidi/>
            </w:pPr>
            <w:r>
              <w:rPr>
                <w:sz w:val="18"/>
              </w:rPr>
              <w:t>explicitness</w:t>
            </w:r>
          </w:p>
        </w:tc>
        <w:tc>
          <w:tcPr>
            <w:tcW w:type="dxa" w:w="3952"/>
            <w:vAlign w:val="center"/>
          </w:tcPr>
          <w:p>
            <w:pPr>
              <w:spacing w:line="283" w:lineRule="auto" w:after="0"/>
              <w:jc w:val="right"/>
              <w:bidi/>
            </w:pPr>
            <w:r>
              <w:rPr>
                <w:sz w:val="18"/>
              </w:rPr>
              <w:t>درجة صراحة صيغة النزول.</w:t>
            </w:r>
          </w:p>
        </w:tc>
      </w:tr>
      <w:tr>
        <w:trPr>
          <w:cantSplit/>
        </w:trPr>
        <w:tc>
          <w:tcPr>
            <w:tcW w:type="dxa" w:w="3952"/>
            <w:vAlign w:val="center"/>
          </w:tcPr>
          <w:p>
            <w:pPr>
              <w:spacing w:line="283" w:lineRule="auto" w:after="0"/>
              <w:jc w:val="right"/>
              <w:bidi/>
            </w:pPr>
            <w:r>
              <w:rPr>
                <w:sz w:val="18"/>
              </w:rPr>
              <w:t>historical_time</w:t>
            </w:r>
          </w:p>
        </w:tc>
        <w:tc>
          <w:tcPr>
            <w:tcW w:type="dxa" w:w="3952"/>
            <w:vAlign w:val="center"/>
          </w:tcPr>
          <w:p>
            <w:pPr>
              <w:spacing w:line="283" w:lineRule="auto" w:after="0"/>
              <w:jc w:val="right"/>
              <w:bidi/>
            </w:pPr>
            <w:r>
              <w:rPr>
                <w:sz w:val="18"/>
              </w:rPr>
              <w:t>التاريخ أو المرحلة.</w:t>
            </w:r>
          </w:p>
        </w:tc>
      </w:tr>
      <w:tr>
        <w:trPr>
          <w:cantSplit/>
        </w:trPr>
        <w:tc>
          <w:tcPr>
            <w:tcW w:type="dxa" w:w="3952"/>
            <w:vAlign w:val="center"/>
          </w:tcPr>
          <w:p>
            <w:pPr>
              <w:spacing w:line="283" w:lineRule="auto" w:after="0"/>
              <w:jc w:val="right"/>
              <w:bidi/>
            </w:pPr>
            <w:r>
              <w:rPr>
                <w:sz w:val="18"/>
              </w:rPr>
              <w:t>internal_context</w:t>
            </w:r>
          </w:p>
        </w:tc>
        <w:tc>
          <w:tcPr>
            <w:tcW w:type="dxa" w:w="3952"/>
            <w:vAlign w:val="center"/>
          </w:tcPr>
          <w:p>
            <w:pPr>
              <w:spacing w:line="283" w:lineRule="auto" w:after="0"/>
              <w:jc w:val="right"/>
              <w:bidi/>
            </w:pPr>
            <w:r>
              <w:rPr>
                <w:sz w:val="18"/>
              </w:rPr>
              <w:t>سياق الآية والمقطع.</w:t>
            </w:r>
          </w:p>
        </w:tc>
      </w:tr>
      <w:tr>
        <w:trPr>
          <w:cantSplit/>
        </w:trPr>
        <w:tc>
          <w:tcPr>
            <w:tcW w:type="dxa" w:w="3952"/>
            <w:vAlign w:val="center"/>
          </w:tcPr>
          <w:p>
            <w:pPr>
              <w:spacing w:line="283" w:lineRule="auto" w:after="0"/>
              <w:jc w:val="right"/>
              <w:bidi/>
            </w:pPr>
            <w:r>
              <w:rPr>
                <w:sz w:val="18"/>
              </w:rPr>
              <w:t>external_context</w:t>
            </w:r>
          </w:p>
        </w:tc>
        <w:tc>
          <w:tcPr>
            <w:tcW w:type="dxa" w:w="3952"/>
            <w:vAlign w:val="center"/>
          </w:tcPr>
          <w:p>
            <w:pPr>
              <w:spacing w:line="283" w:lineRule="auto" w:after="0"/>
              <w:jc w:val="right"/>
              <w:bidi/>
            </w:pPr>
            <w:r>
              <w:rPr>
                <w:sz w:val="18"/>
              </w:rPr>
              <w:t>المقام التاريخي المدعى.</w:t>
            </w:r>
          </w:p>
        </w:tc>
      </w:tr>
      <w:tr>
        <w:trPr>
          <w:cantSplit/>
        </w:trPr>
        <w:tc>
          <w:tcPr>
            <w:tcW w:type="dxa" w:w="3952"/>
            <w:vAlign w:val="center"/>
          </w:tcPr>
          <w:p>
            <w:pPr>
              <w:spacing w:line="283" w:lineRule="auto" w:after="0"/>
              <w:jc w:val="right"/>
              <w:bidi/>
            </w:pPr>
            <w:r>
              <w:rPr>
                <w:sz w:val="18"/>
              </w:rPr>
              <w:t>isnad_grade</w:t>
            </w:r>
          </w:p>
        </w:tc>
        <w:tc>
          <w:tcPr>
            <w:tcW w:type="dxa" w:w="3952"/>
            <w:vAlign w:val="center"/>
          </w:tcPr>
          <w:p>
            <w:pPr>
              <w:spacing w:line="283" w:lineRule="auto" w:after="0"/>
              <w:jc w:val="right"/>
              <w:bidi/>
            </w:pPr>
            <w:r>
              <w:rPr>
                <w:sz w:val="18"/>
              </w:rPr>
              <w:t>درجة الطريق.</w:t>
            </w:r>
          </w:p>
        </w:tc>
      </w:tr>
      <w:tr>
        <w:trPr>
          <w:cantSplit/>
        </w:trPr>
        <w:tc>
          <w:tcPr>
            <w:tcW w:type="dxa" w:w="3952"/>
            <w:vAlign w:val="center"/>
          </w:tcPr>
          <w:p>
            <w:pPr>
              <w:spacing w:line="283" w:lineRule="auto" w:after="0"/>
              <w:jc w:val="right"/>
              <w:bidi/>
            </w:pPr>
            <w:r>
              <w:rPr>
                <w:sz w:val="18"/>
              </w:rPr>
              <w:t>matn_grade</w:t>
            </w:r>
          </w:p>
        </w:tc>
        <w:tc>
          <w:tcPr>
            <w:tcW w:type="dxa" w:w="3952"/>
            <w:vAlign w:val="center"/>
          </w:tcPr>
          <w:p>
            <w:pPr>
              <w:spacing w:line="283" w:lineRule="auto" w:after="0"/>
              <w:jc w:val="right"/>
              <w:bidi/>
            </w:pPr>
            <w:r>
              <w:rPr>
                <w:sz w:val="18"/>
              </w:rPr>
              <w:t>درجة المتن.</w:t>
            </w:r>
          </w:p>
        </w:tc>
      </w:tr>
      <w:tr>
        <w:trPr>
          <w:cantSplit/>
        </w:trPr>
        <w:tc>
          <w:tcPr>
            <w:tcW w:type="dxa" w:w="3952"/>
            <w:vAlign w:val="center"/>
          </w:tcPr>
          <w:p>
            <w:pPr>
              <w:spacing w:line="283" w:lineRule="auto" w:after="0"/>
              <w:jc w:val="right"/>
              <w:bidi/>
            </w:pPr>
            <w:r>
              <w:rPr>
                <w:sz w:val="18"/>
              </w:rPr>
              <w:t>relation_grade</w:t>
            </w:r>
          </w:p>
        </w:tc>
        <w:tc>
          <w:tcPr>
            <w:tcW w:type="dxa" w:w="3952"/>
            <w:vAlign w:val="center"/>
          </w:tcPr>
          <w:p>
            <w:pPr>
              <w:spacing w:line="283" w:lineRule="auto" w:after="0"/>
              <w:jc w:val="right"/>
              <w:bidi/>
            </w:pPr>
            <w:r>
              <w:rPr>
                <w:sz w:val="18"/>
              </w:rPr>
              <w:t>درجة ثبوت العلاقة بالنزول.</w:t>
            </w:r>
          </w:p>
        </w:tc>
      </w:tr>
      <w:tr>
        <w:trPr>
          <w:cantSplit/>
        </w:trPr>
        <w:tc>
          <w:tcPr>
            <w:tcW w:type="dxa" w:w="3952"/>
            <w:vAlign w:val="center"/>
          </w:tcPr>
          <w:p>
            <w:pPr>
              <w:spacing w:line="283" w:lineRule="auto" w:after="0"/>
              <w:jc w:val="right"/>
              <w:bidi/>
            </w:pPr>
            <w:r>
              <w:rPr>
                <w:sz w:val="18"/>
              </w:rPr>
              <w:t>interpretive_effect</w:t>
            </w:r>
          </w:p>
        </w:tc>
        <w:tc>
          <w:tcPr>
            <w:tcW w:type="dxa" w:w="3952"/>
            <w:vAlign w:val="center"/>
          </w:tcPr>
          <w:p>
            <w:pPr>
              <w:spacing w:line="283" w:lineRule="auto" w:after="0"/>
              <w:jc w:val="right"/>
              <w:bidi/>
            </w:pPr>
            <w:r>
              <w:rPr>
                <w:sz w:val="18"/>
              </w:rPr>
              <w:t>الأثر في المعنى.</w:t>
            </w:r>
          </w:p>
        </w:tc>
      </w:tr>
      <w:tr>
        <w:trPr>
          <w:cantSplit/>
        </w:trPr>
        <w:tc>
          <w:tcPr>
            <w:tcW w:type="dxa" w:w="3952"/>
            <w:vAlign w:val="center"/>
          </w:tcPr>
          <w:p>
            <w:pPr>
              <w:spacing w:line="283" w:lineRule="auto" w:after="0"/>
              <w:jc w:val="right"/>
              <w:bidi/>
            </w:pPr>
            <w:r>
              <w:rPr>
                <w:sz w:val="18"/>
              </w:rPr>
              <w:t>scope_effect</w:t>
            </w:r>
          </w:p>
        </w:tc>
        <w:tc>
          <w:tcPr>
            <w:tcW w:type="dxa" w:w="3952"/>
            <w:vAlign w:val="center"/>
          </w:tcPr>
          <w:p>
            <w:pPr>
              <w:spacing w:line="283" w:lineRule="auto" w:after="0"/>
              <w:jc w:val="right"/>
              <w:bidi/>
            </w:pPr>
            <w:r>
              <w:rPr>
                <w:sz w:val="18"/>
              </w:rPr>
              <w:t>الأثر في العموم والخصوص.</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الروايات أو القرائن النافية.</w:t>
            </w:r>
          </w:p>
        </w:tc>
      </w:tr>
      <w:tr>
        <w:trPr>
          <w:cantSplit/>
        </w:trPr>
        <w:tc>
          <w:tcPr>
            <w:tcW w:type="dxa" w:w="3952"/>
            <w:vAlign w:val="center"/>
          </w:tcPr>
          <w:p>
            <w:pPr>
              <w:spacing w:line="283" w:lineRule="auto" w:after="0"/>
              <w:jc w:val="right"/>
              <w:bidi/>
            </w:pPr>
            <w:r>
              <w:rPr>
                <w:sz w:val="18"/>
              </w:rPr>
              <w:t>alternative_hypothesis</w:t>
            </w:r>
          </w:p>
        </w:tc>
        <w:tc>
          <w:tcPr>
            <w:tcW w:type="dxa" w:w="3952"/>
            <w:vAlign w:val="center"/>
          </w:tcPr>
          <w:p>
            <w:pPr>
              <w:spacing w:line="283" w:lineRule="auto" w:after="0"/>
              <w:jc w:val="right"/>
              <w:bidi/>
            </w:pPr>
            <w:r>
              <w:rPr>
                <w:sz w:val="18"/>
              </w:rPr>
              <w:t>القراءة المنافسة.</w:t>
            </w:r>
          </w:p>
        </w:tc>
      </w:tr>
      <w:tr>
        <w:trPr>
          <w:cantSplit/>
        </w:trPr>
        <w:tc>
          <w:tcPr>
            <w:tcW w:type="dxa" w:w="3952"/>
            <w:vAlign w:val="center"/>
          </w:tcPr>
          <w:p>
            <w:pPr>
              <w:spacing w:line="283" w:lineRule="auto" w:after="0"/>
              <w:jc w:val="right"/>
              <w:bidi/>
            </w:pPr>
            <w:r>
              <w:rPr>
                <w:sz w:val="18"/>
              </w:rPr>
              <w:t>review_status</w:t>
            </w:r>
          </w:p>
        </w:tc>
        <w:tc>
          <w:tcPr>
            <w:tcW w:type="dxa" w:w="3952"/>
            <w:vAlign w:val="center"/>
          </w:tcPr>
          <w:p>
            <w:pPr>
              <w:spacing w:line="283" w:lineRule="auto" w:after="0"/>
              <w:jc w:val="right"/>
              <w:bidi/>
            </w:pPr>
            <w:r>
              <w:rPr>
                <w:sz w:val="18"/>
              </w:rPr>
              <w:t>حالة المراجعة.</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Pr>
        <w:spacing w:after="20"/>
      </w:pPr>
    </w:p>
    <w:p>
      <w:pPr>
        <w:spacing w:line="283" w:lineRule="auto" w:after="80"/>
        <w:ind w:firstLine="397"/>
        <w:jc w:val="both"/>
        <w:bidi/>
      </w:pPr>
      <w:r>
        <w:t>claim_id: معرف دعوى سبب النزول.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surah_ayah: السورة والآية أو المقطع.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quran_text: النص القرآني المعتمد.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reading: القراءة ذات الصلة إن وجدت.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report_text: نص رواية النزول.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source: المصدر والموضع.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isnad: الإسناد ومسار الكتاب.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report_type: سبب/سؤال/مصداق/تطبيق/تفسير.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explicitness: درجة صراحة صيغة النزول.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historical_time: التاريخ أو المرحلة.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internal_context: سياق الآية والمقطع.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external_context: المقام التاريخي المدعى.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isnad_grade: درجة الطريق.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matn_grade: درجة المتن.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relation_grade: درجة ثبوت العلاقة بالنزول.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interpretive_effect: الأثر في المعنى.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scope_effect: الأثر في العموم والخصوص.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counter_evidence: الروايات أو القرائن النافية.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alternative_hypothesis: القراءة المنافسة.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review_status: حالة المراجعة.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reviewer: المراجع. ويجب أن يبقى قابلاً للتتبع إلى المصدر، وأن لا تستنتج المنصة من الحقل حكماً أعلى من درجته؛ فثبوت الطريق مثلاً لا يملأ آلياً حقل العلاقة بالسبب.</w:t>
      </w:r>
    </w:p>
    <w:p>
      <w:pPr>
        <w:spacing w:line="283" w:lineRule="auto" w:after="80"/>
        <w:ind w:firstLine="397"/>
        <w:jc w:val="both"/>
        <w:bidi/>
      </w:pPr>
      <w:r>
        <w:t>version: الإصدار. ويجب أن يبقى قابلاً للتتبع إلى المصدر، وأن لا تستنتج المنصة من الحقل حكماً أعلى من درجته؛ فثبوت الطريق مثلاً لا يملأ آلياً حقل العلاقة بالسبب.</w:t>
      </w:r>
    </w:p>
    <w:p>
      <w:r>
        <w:br w:type="page"/>
      </w:r>
    </w:p>
    <w:p>
      <w:pPr>
        <w:pStyle w:val="Heading1"/>
        <w:spacing w:line="283" w:lineRule="auto" w:after="120"/>
        <w:jc w:val="right"/>
        <w:keepNext/>
        <w:bidi/>
      </w:pPr>
      <w:r>
        <w:t>الملحق التاسع: الأسئلة البحثية المفتوحة</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السؤال</w:t>
            </w:r>
          </w:p>
        </w:tc>
        <w:tc>
          <w:tcPr>
            <w:tcW w:type="dxa" w:w="3952"/>
            <w:vAlign w:val="center"/>
          </w:tcPr>
          <w:p>
            <w:pPr>
              <w:spacing w:line="283" w:lineRule="auto" w:after="0"/>
              <w:jc w:val="center"/>
              <w:bidi/>
            </w:pPr>
            <w:r>
              <w:rPr>
                <w:b/>
                <w:sz w:val="18"/>
              </w:rPr>
              <w:t>الإشكال</w:t>
            </w:r>
          </w:p>
        </w:tc>
      </w:tr>
      <w:tr>
        <w:trPr>
          <w:cantSplit/>
        </w:trPr>
        <w:tc>
          <w:tcPr>
            <w:tcW w:type="dxa" w:w="3952"/>
            <w:vAlign w:val="center"/>
          </w:tcPr>
          <w:p>
            <w:pPr>
              <w:spacing w:line="283" w:lineRule="auto" w:after="0"/>
              <w:jc w:val="right"/>
              <w:bidi/>
            </w:pPr>
            <w:r>
              <w:rPr>
                <w:sz w:val="18"/>
              </w:rPr>
              <w:t>لغة «نزلت في»</w:t>
            </w:r>
          </w:p>
        </w:tc>
        <w:tc>
          <w:tcPr>
            <w:tcW w:type="dxa" w:w="3952"/>
            <w:vAlign w:val="center"/>
          </w:tcPr>
          <w:p>
            <w:pPr>
              <w:spacing w:line="283" w:lineRule="auto" w:after="0"/>
              <w:jc w:val="right"/>
              <w:bidi/>
            </w:pPr>
            <w:r>
              <w:rPr>
                <w:sz w:val="18"/>
              </w:rPr>
              <w:t>كيف تغير استعمالها بين الطبقات الأولى والمتأخرة؟</w:t>
            </w:r>
          </w:p>
        </w:tc>
      </w:tr>
      <w:tr>
        <w:trPr>
          <w:cantSplit/>
        </w:trPr>
        <w:tc>
          <w:tcPr>
            <w:tcW w:type="dxa" w:w="3952"/>
            <w:vAlign w:val="center"/>
          </w:tcPr>
          <w:p>
            <w:pPr>
              <w:spacing w:line="283" w:lineRule="auto" w:after="0"/>
              <w:jc w:val="right"/>
              <w:bidi/>
            </w:pPr>
            <w:r>
              <w:rPr>
                <w:sz w:val="18"/>
              </w:rPr>
              <w:t>مصادر أسباب النزول المفقودة</w:t>
            </w:r>
          </w:p>
        </w:tc>
        <w:tc>
          <w:tcPr>
            <w:tcW w:type="dxa" w:w="3952"/>
            <w:vAlign w:val="center"/>
          </w:tcPr>
          <w:p>
            <w:pPr>
              <w:spacing w:line="283" w:lineRule="auto" w:after="0"/>
              <w:jc w:val="right"/>
              <w:bidi/>
            </w:pPr>
            <w:r>
              <w:rPr>
                <w:sz w:val="18"/>
              </w:rPr>
              <w:t>كيف يعاد بناء مادتها من الاقتباسات؟</w:t>
            </w:r>
          </w:p>
        </w:tc>
      </w:tr>
      <w:tr>
        <w:trPr>
          <w:cantSplit/>
        </w:trPr>
        <w:tc>
          <w:tcPr>
            <w:tcW w:type="dxa" w:w="3952"/>
            <w:vAlign w:val="center"/>
          </w:tcPr>
          <w:p>
            <w:pPr>
              <w:spacing w:line="283" w:lineRule="auto" w:after="0"/>
              <w:jc w:val="right"/>
              <w:bidi/>
            </w:pPr>
            <w:r>
              <w:rPr>
                <w:sz w:val="18"/>
              </w:rPr>
              <w:t>السبب المتعدد</w:t>
            </w:r>
          </w:p>
        </w:tc>
        <w:tc>
          <w:tcPr>
            <w:tcW w:type="dxa" w:w="3952"/>
            <w:vAlign w:val="center"/>
          </w:tcPr>
          <w:p>
            <w:pPr>
              <w:spacing w:line="283" w:lineRule="auto" w:after="0"/>
              <w:jc w:val="right"/>
              <w:bidi/>
            </w:pPr>
            <w:r>
              <w:rPr>
                <w:sz w:val="18"/>
              </w:rPr>
              <w:t>هل يمكن أن تنزل الآية عقب أكثر من واقعة أو يعاد التذكير بها؟</w:t>
            </w:r>
          </w:p>
        </w:tc>
      </w:tr>
      <w:tr>
        <w:trPr>
          <w:cantSplit/>
        </w:trPr>
        <w:tc>
          <w:tcPr>
            <w:tcW w:type="dxa" w:w="3952"/>
            <w:vAlign w:val="center"/>
          </w:tcPr>
          <w:p>
            <w:pPr>
              <w:spacing w:line="283" w:lineRule="auto" w:after="0"/>
              <w:jc w:val="right"/>
              <w:bidi/>
            </w:pPr>
            <w:r>
              <w:rPr>
                <w:sz w:val="18"/>
              </w:rPr>
              <w:t>تعدد النزول</w:t>
            </w:r>
          </w:p>
        </w:tc>
        <w:tc>
          <w:tcPr>
            <w:tcW w:type="dxa" w:w="3952"/>
            <w:vAlign w:val="center"/>
          </w:tcPr>
          <w:p>
            <w:pPr>
              <w:spacing w:line="283" w:lineRule="auto" w:after="0"/>
              <w:jc w:val="right"/>
              <w:bidi/>
            </w:pPr>
            <w:r>
              <w:rPr>
                <w:sz w:val="18"/>
              </w:rPr>
              <w:t>ما الأدلة المقبولة على دعوى نزول الآية أكثر من مرة؟</w:t>
            </w:r>
          </w:p>
        </w:tc>
      </w:tr>
      <w:tr>
        <w:trPr>
          <w:cantSplit/>
        </w:trPr>
        <w:tc>
          <w:tcPr>
            <w:tcW w:type="dxa" w:w="3952"/>
            <w:vAlign w:val="center"/>
          </w:tcPr>
          <w:p>
            <w:pPr>
              <w:spacing w:line="283" w:lineRule="auto" w:after="0"/>
              <w:jc w:val="right"/>
              <w:bidi/>
            </w:pPr>
            <w:r>
              <w:rPr>
                <w:sz w:val="18"/>
              </w:rPr>
              <w:t>المكي والمدني</w:t>
            </w:r>
          </w:p>
        </w:tc>
        <w:tc>
          <w:tcPr>
            <w:tcW w:type="dxa" w:w="3952"/>
            <w:vAlign w:val="center"/>
          </w:tcPr>
          <w:p>
            <w:pPr>
              <w:spacing w:line="283" w:lineRule="auto" w:after="0"/>
              <w:jc w:val="right"/>
              <w:bidi/>
            </w:pPr>
            <w:r>
              <w:rPr>
                <w:sz w:val="18"/>
              </w:rPr>
              <w:t>كيف يقاس عدم اليقين في التصنيف الزمني؟</w:t>
            </w:r>
          </w:p>
        </w:tc>
      </w:tr>
      <w:tr>
        <w:trPr>
          <w:cantSplit/>
        </w:trPr>
        <w:tc>
          <w:tcPr>
            <w:tcW w:type="dxa" w:w="3952"/>
            <w:vAlign w:val="center"/>
          </w:tcPr>
          <w:p>
            <w:pPr>
              <w:spacing w:line="283" w:lineRule="auto" w:after="0"/>
              <w:jc w:val="right"/>
              <w:bidi/>
            </w:pPr>
            <w:r>
              <w:rPr>
                <w:sz w:val="18"/>
              </w:rPr>
              <w:t>الروايات المذهبية</w:t>
            </w:r>
          </w:p>
        </w:tc>
        <w:tc>
          <w:tcPr>
            <w:tcW w:type="dxa" w:w="3952"/>
            <w:vAlign w:val="center"/>
          </w:tcPr>
          <w:p>
            <w:pPr>
              <w:spacing w:line="283" w:lineRule="auto" w:after="0"/>
              <w:jc w:val="right"/>
              <w:bidi/>
            </w:pPr>
            <w:r>
              <w:rPr>
                <w:sz w:val="18"/>
              </w:rPr>
              <w:t>كيف تقاس درجة الاستقلال بين طرق المدارس؟</w:t>
            </w:r>
          </w:p>
        </w:tc>
      </w:tr>
      <w:tr>
        <w:trPr>
          <w:cantSplit/>
        </w:trPr>
        <w:tc>
          <w:tcPr>
            <w:tcW w:type="dxa" w:w="3952"/>
            <w:vAlign w:val="center"/>
          </w:tcPr>
          <w:p>
            <w:pPr>
              <w:spacing w:line="283" w:lineRule="auto" w:after="0"/>
              <w:jc w:val="right"/>
              <w:bidi/>
            </w:pPr>
            <w:r>
              <w:rPr>
                <w:sz w:val="18"/>
              </w:rPr>
              <w:t>أسباب نزول الأحكام</w:t>
            </w:r>
          </w:p>
        </w:tc>
        <w:tc>
          <w:tcPr>
            <w:tcW w:type="dxa" w:w="3952"/>
            <w:vAlign w:val="center"/>
          </w:tcPr>
          <w:p>
            <w:pPr>
              <w:spacing w:line="283" w:lineRule="auto" w:after="0"/>
              <w:jc w:val="right"/>
              <w:bidi/>
            </w:pPr>
            <w:r>
              <w:rPr>
                <w:sz w:val="18"/>
              </w:rPr>
              <w:t>ما أثر الخبر في تحقيق المناط دون حصر العموم؟</w:t>
            </w:r>
          </w:p>
        </w:tc>
      </w:tr>
      <w:tr>
        <w:trPr>
          <w:cantSplit/>
        </w:trPr>
        <w:tc>
          <w:tcPr>
            <w:tcW w:type="dxa" w:w="3952"/>
            <w:vAlign w:val="center"/>
          </w:tcPr>
          <w:p>
            <w:pPr>
              <w:spacing w:line="283" w:lineRule="auto" w:after="0"/>
              <w:jc w:val="right"/>
              <w:bidi/>
            </w:pPr>
            <w:r>
              <w:rPr>
                <w:sz w:val="18"/>
              </w:rPr>
              <w:t>الآيات القصصية</w:t>
            </w:r>
          </w:p>
        </w:tc>
        <w:tc>
          <w:tcPr>
            <w:tcW w:type="dxa" w:w="3952"/>
            <w:vAlign w:val="center"/>
          </w:tcPr>
          <w:p>
            <w:pPr>
              <w:spacing w:line="283" w:lineRule="auto" w:after="0"/>
              <w:jc w:val="right"/>
              <w:bidi/>
            </w:pPr>
            <w:r>
              <w:rPr>
                <w:sz w:val="18"/>
              </w:rPr>
              <w:t>هل يصح أصلاً استعمال مفهوم سبب النزول فيها بالطريقة نفسها؟</w:t>
            </w:r>
          </w:p>
        </w:tc>
      </w:tr>
      <w:tr>
        <w:trPr>
          <w:cantSplit/>
        </w:trPr>
        <w:tc>
          <w:tcPr>
            <w:tcW w:type="dxa" w:w="3952"/>
            <w:vAlign w:val="center"/>
          </w:tcPr>
          <w:p>
            <w:pPr>
              <w:spacing w:line="283" w:lineRule="auto" w:after="0"/>
              <w:jc w:val="right"/>
              <w:bidi/>
            </w:pPr>
            <w:r>
              <w:rPr>
                <w:sz w:val="18"/>
              </w:rPr>
              <w:t>الذكاء الاصطناعي</w:t>
            </w:r>
          </w:p>
        </w:tc>
        <w:tc>
          <w:tcPr>
            <w:tcW w:type="dxa" w:w="3952"/>
            <w:vAlign w:val="center"/>
          </w:tcPr>
          <w:p>
            <w:pPr>
              <w:spacing w:line="283" w:lineRule="auto" w:after="0"/>
              <w:jc w:val="right"/>
              <w:bidi/>
            </w:pPr>
            <w:r>
              <w:rPr>
                <w:sz w:val="18"/>
              </w:rPr>
              <w:t>كيف يُستخدم في جمع الصيغ دون تقرير السببية؟</w:t>
            </w:r>
          </w:p>
        </w:tc>
      </w:tr>
      <w:tr>
        <w:trPr>
          <w:cantSplit/>
        </w:trPr>
        <w:tc>
          <w:tcPr>
            <w:tcW w:type="dxa" w:w="3952"/>
            <w:vAlign w:val="center"/>
          </w:tcPr>
          <w:p>
            <w:pPr>
              <w:spacing w:line="283" w:lineRule="auto" w:after="0"/>
              <w:jc w:val="right"/>
              <w:bidi/>
            </w:pPr>
            <w:r>
              <w:rPr>
                <w:sz w:val="18"/>
              </w:rPr>
              <w:t>التلقي المبكر</w:t>
            </w:r>
          </w:p>
        </w:tc>
        <w:tc>
          <w:tcPr>
            <w:tcW w:type="dxa" w:w="3952"/>
            <w:vAlign w:val="center"/>
          </w:tcPr>
          <w:p>
            <w:pPr>
              <w:spacing w:line="283" w:lineRule="auto" w:after="0"/>
              <w:jc w:val="right"/>
              <w:bidi/>
            </w:pPr>
            <w:r>
              <w:rPr>
                <w:sz w:val="18"/>
              </w:rPr>
              <w:t>كيف نفرق بين أول تفسير محفوظ وبين سبب النزول؟</w:t>
            </w:r>
          </w:p>
        </w:tc>
      </w:tr>
      <w:tr>
        <w:trPr>
          <w:cantSplit/>
        </w:trPr>
        <w:tc>
          <w:tcPr>
            <w:tcW w:type="dxa" w:w="3952"/>
            <w:vAlign w:val="center"/>
          </w:tcPr>
          <w:p>
            <w:pPr>
              <w:spacing w:line="283" w:lineRule="auto" w:after="0"/>
              <w:jc w:val="right"/>
              <w:bidi/>
            </w:pPr>
            <w:r>
              <w:rPr>
                <w:sz w:val="18"/>
              </w:rPr>
              <w:t>الوقف والقراءة</w:t>
            </w:r>
          </w:p>
        </w:tc>
        <w:tc>
          <w:tcPr>
            <w:tcW w:type="dxa" w:w="3952"/>
            <w:vAlign w:val="center"/>
          </w:tcPr>
          <w:p>
            <w:pPr>
              <w:spacing w:line="283" w:lineRule="auto" w:after="0"/>
              <w:jc w:val="right"/>
              <w:bidi/>
            </w:pPr>
            <w:r>
              <w:rPr>
                <w:sz w:val="18"/>
              </w:rPr>
              <w:t>ما الحالات التي يغير فيها خبر النزول التوجيه القرائي فعلاً؟</w:t>
            </w:r>
          </w:p>
        </w:tc>
      </w:tr>
      <w:tr>
        <w:trPr>
          <w:cantSplit/>
        </w:trPr>
        <w:tc>
          <w:tcPr>
            <w:tcW w:type="dxa" w:w="3952"/>
            <w:vAlign w:val="center"/>
          </w:tcPr>
          <w:p>
            <w:pPr>
              <w:spacing w:line="283" w:lineRule="auto" w:after="0"/>
              <w:jc w:val="right"/>
              <w:bidi/>
            </w:pPr>
            <w:r>
              <w:rPr>
                <w:sz w:val="18"/>
              </w:rPr>
              <w:t>التعليم</w:t>
            </w:r>
          </w:p>
        </w:tc>
        <w:tc>
          <w:tcPr>
            <w:tcW w:type="dxa" w:w="3952"/>
            <w:vAlign w:val="center"/>
          </w:tcPr>
          <w:p>
            <w:pPr>
              <w:spacing w:line="283" w:lineRule="auto" w:after="0"/>
              <w:jc w:val="right"/>
              <w:bidi/>
            </w:pPr>
            <w:r>
              <w:rPr>
                <w:sz w:val="18"/>
              </w:rPr>
              <w:t>كيف يُدرّس هذا الباب من غير تثبيت القصص المشهورة قبل نقدها؟</w:t>
            </w:r>
          </w:p>
        </w:tc>
      </w:tr>
    </w:tbl>
    <w:p>
      <w:pPr>
        <w:spacing w:after="20"/>
      </w:pPr>
    </w:p>
    <w:p>
      <w:pPr>
        <w:pStyle w:val="Heading2"/>
        <w:spacing w:line="283" w:lineRule="auto" w:after="120"/>
        <w:jc w:val="right"/>
        <w:keepNext/>
        <w:bidi/>
      </w:pPr>
      <w:r>
        <w:t>السؤال المفتوح 1: لغة «نزلت في»</w:t>
      </w:r>
    </w:p>
    <w:p>
      <w:pPr>
        <w:spacing w:line="283" w:lineRule="auto" w:after="80"/>
        <w:ind w:firstLine="397"/>
        <w:jc w:val="both"/>
        <w:bidi/>
      </w:pPr>
      <w:r>
        <w:t>كيف تغير استعمالها بين الطبقات الأولى والمتأخرة؟</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2: مصادر أسباب النزول المفقودة</w:t>
      </w:r>
    </w:p>
    <w:p>
      <w:pPr>
        <w:spacing w:line="283" w:lineRule="auto" w:after="80"/>
        <w:ind w:firstLine="397"/>
        <w:jc w:val="both"/>
        <w:bidi/>
      </w:pPr>
      <w:r>
        <w:t>كيف يعاد بناء مادتها من الاقتباسات؟</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3: السبب المتعدد</w:t>
      </w:r>
    </w:p>
    <w:p>
      <w:pPr>
        <w:spacing w:line="283" w:lineRule="auto" w:after="80"/>
        <w:ind w:firstLine="397"/>
        <w:jc w:val="both"/>
        <w:bidi/>
      </w:pPr>
      <w:r>
        <w:t>هل يمكن أن تنزل الآية عقب أكثر من واقعة أو يعاد التذكير بها؟</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4: تعدد النزول</w:t>
      </w:r>
    </w:p>
    <w:p>
      <w:pPr>
        <w:spacing w:line="283" w:lineRule="auto" w:after="80"/>
        <w:ind w:firstLine="397"/>
        <w:jc w:val="both"/>
        <w:bidi/>
      </w:pPr>
      <w:r>
        <w:t>ما الأدلة المقبولة على دعوى نزول الآية أكثر من مرة؟</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5: المكي والمدني</w:t>
      </w:r>
    </w:p>
    <w:p>
      <w:pPr>
        <w:spacing w:line="283" w:lineRule="auto" w:after="80"/>
        <w:ind w:firstLine="397"/>
        <w:jc w:val="both"/>
        <w:bidi/>
      </w:pPr>
      <w:r>
        <w:t>كيف يقاس عدم اليقين في التصنيف الزمني؟</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6: الروايات المذهبية</w:t>
      </w:r>
    </w:p>
    <w:p>
      <w:pPr>
        <w:spacing w:line="283" w:lineRule="auto" w:after="80"/>
        <w:ind w:firstLine="397"/>
        <w:jc w:val="both"/>
        <w:bidi/>
      </w:pPr>
      <w:r>
        <w:t>كيف تقاس درجة الاستقلال بين طرق المدارس؟</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7: أسباب نزول الأحكام</w:t>
      </w:r>
    </w:p>
    <w:p>
      <w:pPr>
        <w:spacing w:line="283" w:lineRule="auto" w:after="80"/>
        <w:ind w:firstLine="397"/>
        <w:jc w:val="both"/>
        <w:bidi/>
      </w:pPr>
      <w:r>
        <w:t>ما أثر الخبر في تحقيق المناط دون حصر العموم؟</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8: الآيات القصصية</w:t>
      </w:r>
    </w:p>
    <w:p>
      <w:pPr>
        <w:spacing w:line="283" w:lineRule="auto" w:after="80"/>
        <w:ind w:firstLine="397"/>
        <w:jc w:val="both"/>
        <w:bidi/>
      </w:pPr>
      <w:r>
        <w:t>هل يصح أصلاً استعمال مفهوم سبب النزول فيها بالطريقة نفسها؟</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9: الذكاء الاصطناعي</w:t>
      </w:r>
    </w:p>
    <w:p>
      <w:pPr>
        <w:spacing w:line="283" w:lineRule="auto" w:after="80"/>
        <w:ind w:firstLine="397"/>
        <w:jc w:val="both"/>
        <w:bidi/>
      </w:pPr>
      <w:r>
        <w:t>كيف يُستخدم في جمع الصيغ دون تقرير السببية؟</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10: التلقي المبكر</w:t>
      </w:r>
    </w:p>
    <w:p>
      <w:pPr>
        <w:spacing w:line="283" w:lineRule="auto" w:after="80"/>
        <w:ind w:firstLine="397"/>
        <w:jc w:val="both"/>
        <w:bidi/>
      </w:pPr>
      <w:r>
        <w:t>كيف نفرق بين أول تفسير محفوظ وبين سبب النزول؟</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11: الوقف والقراءة</w:t>
      </w:r>
    </w:p>
    <w:p>
      <w:pPr>
        <w:spacing w:line="283" w:lineRule="auto" w:after="80"/>
        <w:ind w:firstLine="397"/>
        <w:jc w:val="both"/>
        <w:bidi/>
      </w:pPr>
      <w:r>
        <w:t>ما الحالات التي يغير فيها خبر النزول التوجيه القرائي فعلاً؟</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pPr>
        <w:pStyle w:val="Heading2"/>
        <w:spacing w:line="283" w:lineRule="auto" w:after="120"/>
        <w:jc w:val="right"/>
        <w:keepNext/>
        <w:bidi/>
      </w:pPr>
      <w:r>
        <w:t>السؤال المفتوح 12: التعليم</w:t>
      </w:r>
    </w:p>
    <w:p>
      <w:pPr>
        <w:spacing w:line="283" w:lineRule="auto" w:after="80"/>
        <w:ind w:firstLine="397"/>
        <w:jc w:val="both"/>
        <w:bidi/>
      </w:pPr>
      <w:r>
        <w:t>كيف يُدرّس هذا الباب من غير تثبيت القصص المشهورة قبل نقدها؟</w:t>
      </w:r>
    </w:p>
    <w:p>
      <w:pPr>
        <w:spacing w:line="283" w:lineRule="auto" w:after="80"/>
        <w:ind w:firstLine="397"/>
        <w:jc w:val="both"/>
        <w:bidi/>
      </w:pPr>
      <w:r>
        <w:t>يحتاج هذا السؤال إلى مدونة مستقلة ومعيار اكتمال وخطة لاختبار الفرضيات المنافسة، ولا يُحسم بمثال واحد أو بكتاب واحد من كتب أسباب النزول. كما يجب إعلان ما إذا كانت النتيجة تاريخيةً أو تفسيريةً أو أصوليةً.</w:t>
      </w:r>
    </w:p>
    <w:p>
      <w:r>
        <w:br w:type="page"/>
      </w:r>
    </w:p>
    <w:p>
      <w:pPr>
        <w:pStyle w:val="Heading1"/>
        <w:spacing w:line="283" w:lineRule="auto" w:after="120"/>
        <w:jc w:val="right"/>
        <w:keepNext/>
        <w:bidi/>
      </w:pPr>
      <w:r>
        <w:t>الملحق العاشر: ميثاق الباحث في أسباب النزول</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أجعل القرآن حاكماً على الخبر النزولي.</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أفصل النص من التاريخ.</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أجمع جميع صيغ الرواية.</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لا أجعل الشهرة دليلاً على الثبوت.</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أفصل السبب من المصداق.</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أفصل المصداق من التطبيق.</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أفصل التطبيق من التفسير.</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أحقق الأسانيد والكتب.</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أقارن المتون والزيادات.</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أعلن الروايات المخالفة.</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أحفظ السياق الداخلي أولاً.</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لا أختلق سياقاً مفقوداً.</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أحصر العموم بسبب خاص بلا دليل.</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لا ألغي قيمة السبب الصحيح باسم العموم.</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أرفع عتبة التحقق في العقيدة والحقوق.</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أطبق المعيار نفسه على الموافق والمخالف.</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أبني فرضية منافسة.</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أتوقف عند تعادل الأدلة.</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أحفظ الإصدار وتاريخ التصحيح.</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أرد العلم إلى الله العليم الخبير.</w:t>
            </w:r>
          </w:p>
        </w:tc>
      </w:tr>
    </w:tbl>
    <w:p>
      <w:pPr>
        <w:spacing w:after="20"/>
      </w:pPr>
    </w:p>
    <w:p>
      <w:pPr>
        <w:spacing w:line="283" w:lineRule="auto" w:after="80"/>
        <w:ind w:firstLine="397"/>
        <w:jc w:val="both"/>
        <w:bidi/>
      </w:pPr>
      <w:r>
        <w:t>العهد 1: أجعل القرآن حاكماً على الخبر النزولي.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2: أفصل النص من التاريخ.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3: أجمع جميع صيغ الرواية.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4: لا أجعل الشهرة دليلاً على الثبوت.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5: أفصل السبب من المصداق.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6: أفصل المصداق من التطبيق.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7: أفصل التطبيق من التفسير.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8: أحقق الأسانيد والكتب.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9: أقارن المتون والزيادات.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10: أعلن الروايات المخالفة.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11: أحفظ السياق الداخلي أولاً.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12: لا أختلق سياقاً مفقوداً.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13: لا أحصر العموم بسبب خاص بلا دليل.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14: لا ألغي قيمة السبب الصحيح باسم العموم.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15: أرفع عتبة التحقق في العقيدة والحقوق.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16: أطبق المعيار نفسه على الموافق والمخالف.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17: أبني فرضية منافسة.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18: أتوقف عند تعادل الأدلة.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19: أحفظ الإصدار وتاريخ التصحيح. ولا يتحقق هذا العهد بالشعار، بل يظهر في صياغة الملف ولغة الحكم وسجل المستبعدات واستعداد الباحث لتعديل النتيجة عند ظهور دليل أقوى.</w:t>
      </w:r>
    </w:p>
    <w:p>
      <w:pPr>
        <w:spacing w:line="283" w:lineRule="auto" w:after="80"/>
        <w:ind w:firstLine="397"/>
        <w:jc w:val="both"/>
        <w:bidi/>
      </w:pPr>
      <w:r>
        <w:t>العهد 20: أرد العلم إلى الله العليم الخبير. ولا يتحقق هذا العهد بالشعار، بل يظهر في صياغة الملف ولغة الحكم وسجل المستبعدات واستعداد الباحث لتعديل النتيجة عند ظهور دليل أقوى.</w:t>
      </w:r>
    </w:p>
    <w:p>
      <w:r>
        <w:br w:type="page"/>
      </w:r>
    </w:p>
    <w:p>
      <w:pPr>
        <w:pStyle w:val="Heading1"/>
        <w:spacing w:line="283" w:lineRule="auto" w:after="120"/>
        <w:jc w:val="right"/>
        <w:keepNext/>
        <w:bidi/>
      </w:pPr>
      <w:r>
        <w:t>الخاتمة</w:t>
      </w:r>
    </w:p>
    <w:p>
      <w:pPr>
        <w:spacing w:line="283" w:lineRule="auto" w:after="80"/>
        <w:ind w:firstLine="397"/>
        <w:jc w:val="both"/>
        <w:bidi/>
      </w:pPr>
      <w:r>
        <w:t>يكشف هذا الكتاب أن علم أسباب النزول يحتاج إلى إعادة وضعه في مكانه الصحيح: لا هو هامش تاريخي يمكن الاستغناء عنه دائماً، ولا هو مفتاح سحري يملك المعنى خارج القرآن. إنما هو علم في الأخبار التاريخية المتصلة بلحظة التنزيل، تُقاس قيمة كل خبر فيه بثبوته ونوع علاقته وأثره الفعلي في البيان.</w:t>
      </w:r>
    </w:p>
    <w:p>
      <w:pPr>
        <w:spacing w:line="283" w:lineRule="auto" w:after="80"/>
        <w:ind w:firstLine="397"/>
        <w:jc w:val="both"/>
        <w:bidi/>
      </w:pPr>
      <w:r>
        <w:t>وأهم تحول تقترحه النظرية هو الانتقال من سؤال «ما سبب نزول هذه الآية؟» إلى سلسلة أسئلة أدق: هل لدينا خبر؟ ما درجته؟ ما صيغته؟ هل يصف السبب أم المصداق أم التطبيق؟ ما الذي يضيفه إلى السياق الداخلي؟ وهل يتغير المعنى بدونه؟ وبهذا تتحول القصة المشهورة إلى دعوى قابلة للتحقق.</w:t>
      </w:r>
    </w:p>
    <w:p>
      <w:pPr>
        <w:spacing w:line="283" w:lineRule="auto" w:after="80"/>
        <w:ind w:firstLine="397"/>
        <w:jc w:val="both"/>
        <w:bidi/>
      </w:pPr>
      <w:r>
        <w:t>كما تبين أن قاعدة عموم اللفظ وخصوص السبب لا تعمل وحدها؛ فالعموم يُستخرج من النص والسياق والمناط، والسبب قد يكشف قيداً أو وظيفةً إذا دل عليه مجموع الأدلة. فلا يُلغى التاريخ باسم العموم، ولا يُحبس القرآن في التاريخ باسم السبب.</w:t>
      </w:r>
    </w:p>
    <w:p>
      <w:pPr>
        <w:spacing w:line="283" w:lineRule="auto" w:after="80"/>
        <w:ind w:firstLine="397"/>
        <w:jc w:val="both"/>
        <w:bidi/>
      </w:pPr>
      <w:r>
        <w:t>ويمنع المنهج أن تكون أسباب النزول باباً للتنافس المذهبي في نسبة الآيات إلى الأشخاص والجماعات؛ فالمعيار نفسه يطبق على الجميع، والآية لا تصبح ملكاً لمصداقها الأول، كما لا يُنفى المصداق الصحيح لأن له أثراً مذهبياً.</w:t>
      </w:r>
    </w:p>
    <w:p>
      <w:pPr>
        <w:spacing w:line="283" w:lineRule="auto" w:after="80"/>
        <w:ind w:firstLine="397"/>
        <w:jc w:val="both"/>
        <w:bidi/>
      </w:pPr>
      <w:r>
        <w:t>تظل المدونة الكبرى لأسباب النزول مشروعاً مستقلاً بعد هذا الكتاب: تجمع الأخبار روايةً روايةً، وتوحد الطرق والكتب والصيغ، وتربطها بالآيات والسياقات والقراءات، ثم تفتح للمراجعة. وبذلك ينتقل العلم من قوائم القصص إلى قاعدة بيانات تاريخية تفسيرية منضبطة.</w:t>
      </w:r>
    </w:p>
    <w:p>
      <w:pPr>
        <w:spacing w:line="283" w:lineRule="auto" w:after="80"/>
        <w:ind w:firstLine="397"/>
        <w:jc w:val="both"/>
        <w:bidi/>
      </w:pPr>
      <w:r>
        <w:t>وتبقى الغاية هي منع القول على الله بغير علم وحفظ البيان المنزل من أن يُختزل في خبر محتمل، مع حفظ الخبر الصحيح من الإهمال حين يضيء مقام التنزيل. فالقرآن حاكم، والرسول مبين، والخبر شاهد، والباحث مسؤول، والقسط ميزان.</w:t>
      </w:r>
    </w:p>
    <w:p>
      <w:pPr>
        <w:pStyle w:val="Heading2"/>
        <w:spacing w:line="283" w:lineRule="auto" w:after="120"/>
        <w:jc w:val="right"/>
        <w:keepNext/>
        <w:bidi/>
      </w:pPr>
      <w:r>
        <w:t>التعريف النهائي</w:t>
      </w:r>
    </w:p>
    <w:p>
      <w:pPr>
        <w:spacing w:line="283" w:lineRule="auto" w:after="80"/>
        <w:ind w:firstLine="397"/>
        <w:jc w:val="both"/>
        <w:bidi/>
      </w:pPr>
      <w:r>
        <w:t>أسباب النزول في التفسير البياني هي الأخبار التاريخية التي تدعي صلة واقعة أو سؤال أو قول بإنزال آية أو مقطع، وتُفحص أسانيدها ومتونها ومصادرها وصيغها وتاريخها، ثم تُصنف وظيفياً إلى سبب مباشر أو مناسبة أو مصداق أو تطبيق أو تفسير أو غير ذلك، ويُقاس أثرها في الدلالة والعموم والمقام بقدر ثبوتها واتساقها مع السياق الداخلي والمحكمات والتصريف، من غير أن تصبح سلطةً فوق القرآن أو أن يُلغى أثرها الصحيح، وتظل نتائجها متدرجةً قابلةً للاعتراض والتصحيح تحت حاكمية القرآن ومنطق البيان وموازين التبين والشهادة والقسط.</w:t>
      </w:r>
    </w:p>
    <w:p>
      <w:pPr>
        <w:pStyle w:val="Heading1"/>
        <w:spacing w:line="283" w:lineRule="auto" w:after="80"/>
        <w:jc w:val="right"/>
        <w:bidi/>
      </w:pPr>
      <w:r>
        <w:t>الملحق الحادي عشر: تعدد النزول وتعدد السبب واتحاد الحكم</w:t>
      </w:r>
    </w:p>
    <w:p>
      <w:pPr>
        <w:spacing w:line="283" w:lineRule="auto" w:after="80"/>
        <w:ind w:firstLine="397"/>
        <w:jc w:val="both"/>
        <w:bidi/>
      </w:pPr>
      <w:r>
        <w:t>تطرح بعض الروايات احتمال أن تكون الآية أو الجملة قد ارتبطت بأكثر من واقعة، أو أن يكون السبب واحداً ونزلت بشأنه آيات متعددة، أو أن تتعدد الوقائع ويكون الحكم القرآني واحداً. ولا يجوز حل هذه الصور بعنوان عام مثل «تعدد النزول» قبل تفكيك نوع الدعوى والزمن والنص والمصدر؛ لأن كل صورة تنتج آثاراً تفسيرية مختلفة.</w:t>
      </w:r>
    </w:p>
    <w:p>
      <w:pPr>
        <w:spacing w:line="283" w:lineRule="auto" w:after="80"/>
        <w:ind w:firstLine="397"/>
        <w:jc w:val="both"/>
        <w:bidi/>
      </w:pPr>
      <w:r>
        <w:t>يُفرق أولاً بين تعدد السبب وتعدد المصداق. فقد تذكر روايتان شخصين مختلفين تحت الآية نفسها، ولا يلزم من ذلك أن للآية سببين؛ إذ قد تكون إحداهما أو كلتاهما تطبيقاً. ويُفرق ثانياً بين تكرر التلاوة في مناسبة جديدة وبين إعادة النزول؛ فالاستشهاد النبوي بالآية بعد نزولها لا يثبت نزولاً ثانياً.</w:t>
      </w:r>
    </w:p>
    <w:p>
      <w:pPr>
        <w:spacing w:line="283" w:lineRule="auto" w:after="80"/>
        <w:ind w:firstLine="397"/>
        <w:jc w:val="both"/>
        <w:bidi/>
      </w:pPr>
      <w:r>
        <w:t>أما دعوى نزول النص نفسه أكثر من مرة فتحتاج إلى دليل مستقل يتجاوز مجرد اختلاف التواريخ أو تعدد القصص. ويجب أن يُسأل عن سبب حفظ التلاوة في المصحف مرةً واحدة، وعن صيغة الرواة، وعن إمكان أن يكون الاختلاف ناتجاً من خلط المناسبة بالسبب أو من نقل بالمعنى.</w:t>
      </w:r>
    </w:p>
    <w:p>
      <w:pPr>
        <w:spacing w:line="283" w:lineRule="auto" w:after="80"/>
        <w:ind w:firstLine="397"/>
        <w:jc w:val="both"/>
        <w:bidi/>
      </w:pPr>
      <w:r>
        <w:t>وقد تتعدد الوقائع التي تكشف الحاجة إلى حكم واحد، ثم ينزل النص في مرحلة تكون فيها إحدى الوقائع أشهر من غيرها. في هذه الحالة لا يصح أن تُلغى الوقائع الأخرى إذا ثبتت، لكن لا يصح أيضاً أن تُجمع كلها في «سبب مركب» من غير نص يدل على ذلك. ويكون التعبير الأدق: سياقات سابقة أو مصاديق أو دوافع تاريخية محتملة بحسب القرائن.</w:t>
      </w:r>
    </w:p>
    <w:p>
      <w:pPr>
        <w:spacing w:line="283" w:lineRule="auto" w:after="80"/>
        <w:ind w:firstLine="397"/>
        <w:jc w:val="both"/>
        <w:bidi/>
      </w:pPr>
      <w:r>
        <w:t>كما يمكن أن يكون السبب واحداً وتنزل بشأنه آيات في مقاطع مختلفة، لكن هذا يحتاج إلى تحليل ترتيب النزول وموضوع كل آية ووظيفتها. ولا يكفي اشتراك القصة في الروايات لتوحيد زمن النزول أو مقام الخطاب، فقد يعاد تناول الواقعة نفسها لأغراض تعليمية وتشريعية وحجاجية مختلفة.</w:t>
      </w:r>
    </w:p>
    <w:p>
      <w:pPr>
        <w:spacing w:line="283" w:lineRule="auto" w:after="80"/>
        <w:ind w:firstLine="397"/>
        <w:jc w:val="both"/>
        <w:bidi/>
      </w:pPr>
      <w:r>
        <w:t>تُدار هذه الصور في المصفوفة بإبقاء كل دعوى نزول مستقلة، وربطها بعلاقة «ينافس» أو «يكمل» أو «تطبيق لاحق» بدلاً من الدمج المبكر. ثم تُختبر إمكانية الجمع تاريخياً ونصياً، ويُسجل أثر كل سيناريو في تفسير الآية. فإذا لم يتغير المعنى بقي الخلاف تاريخياً، وإذا تغير ارتفعت الحاجة إلى الترجيح.</w:t>
      </w:r>
    </w:p>
    <w:p>
      <w:pPr>
        <w:spacing w:line="283" w:lineRule="auto" w:after="80"/>
        <w:ind w:firstLine="397"/>
        <w:jc w:val="both"/>
        <w:bidi/>
      </w:pPr>
      <w:r>
        <w:t>والقاعدة النهائية أن التعدد لا يُقبل لأنه يحل التعارض فقط، ولا يُرفض لأنه معقد. بل يُثبت بقدر الدليل. فإذا أمكن تفسير الروايات بتمييز السبب من المصداق أو التلاوة اللاحقة كان ذلك أولى من افتراض نزول متكرر بلا بينة، وإذا قام دليل صريح مستقل على التعدد لم يمنعه أصل نظري سابق.</w:t>
      </w:r>
    </w:p>
    <w:p>
      <w:pPr>
        <w:spacing w:line="283" w:lineRule="auto" w:after="80"/>
        <w:ind w:firstLine="397"/>
        <w:jc w:val="both"/>
        <w:bidi/>
      </w:pPr>
      <w:r>
        <w:t>ينبغي كذلك أن يُذكر في التقرير ما إذا كان اتحاد الحكم ناتجاً من عموم اللفظ أو من وحدة المناط أو من تكرر التشريع في مراحل. فهذا التفصيل يمنع أن تتحول قصة النزول إلى مصدر مستقل للقواعد الأصولية، ويبقي النص هو المرجع في تحديد مجال الحكم وحدوده.</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rPr>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السابع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السابع عشر: أسباب النزول في ميزان القرآن ومنطق البيان</dc:title>
  <dc:subject>موسوعة علم الأصول النظرية للتفسير البياني</dc:subject>
  <dc:creator>Ibn ʿAbbās al-ʿĀmilī, PhD</dc:creator>
  <cp:keywords>أسباب النزول، التفسير البياني، القرآن، منطق البيان، علوم القرآن</cp:keywords>
  <dc:description>generated by python-docx</dc:description>
  <cp:lastModifiedBy/>
  <cp:revision>1</cp:revision>
  <dcterms:created xsi:type="dcterms:W3CDTF">2013-12-23T23:15:00Z</dcterms:created>
  <dcterms:modified xsi:type="dcterms:W3CDTF">2013-12-23T23:15:00Z</dcterms:modified>
  <cp:category/>
</cp:coreProperties>
</file>