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الثامن عشر</w:t>
      </w:r>
    </w:p>
    <w:p>
      <w:pPr>
        <w:spacing w:line="283" w:lineRule="auto" w:after="80" w:before="0"/>
        <w:jc w:val="center"/>
        <w:bidi/>
      </w:pPr>
      <w:r>
        <w:rPr>
          <w:b/>
          <w:sz w:val="46"/>
        </w:rPr>
        <w:t>النسخ في ميزان القرآن ومنطق البيان</w:t>
      </w:r>
    </w:p>
    <w:p>
      <w:pPr>
        <w:spacing w:line="283" w:lineRule="auto" w:after="80" w:before="0"/>
        <w:jc w:val="center"/>
        <w:bidi/>
      </w:pPr>
      <w:r>
        <w:rPr>
          <w:b w:val="0"/>
          <w:sz w:val="28"/>
        </w:rPr>
        <w:t>نظرية الرفع والتدرج والتخصيص والتقييد والتبديل وحدود دعوى النسخ</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بيانيةً للنسخ في القرآن تنطلق من حاكمية النص المنزل ووحدة الكتاب ووجوب الجمع بين الآيات ما أمكن، وتتعامل مع دعوى النسخ بوصفها حكماً تفسيرياً عالي الأثر لا يجوز إثباته بالظن اليسير أو بمجرد اختلاف ظاهر بين نصين. فالقول بالنسخ يعني أن حكماً سابقاً لم يعد معمولاً به في مجاله الأول، ولذلك يحتاج إلى دليل أوضح من مجرد إمكان الترتيب الزمني أو اختلاف الصياغة.</w:t>
      </w:r>
    </w:p>
    <w:p>
      <w:pPr>
        <w:spacing w:line="283" w:lineRule="auto" w:after="80"/>
        <w:ind w:firstLine="397"/>
        <w:jc w:val="both"/>
        <w:bidi/>
      </w:pPr>
      <w:r>
        <w:t>يفصل الكتاب بين النسخ والتخصيص والتقييد والتفصيل والتدرج والتبديل وتغير المناط ورفع الحكم المؤقت وانتهاء ظرف التطبيق. وهذا الفصل ضروري لأن كثيراً مما سُمي نسخاً في كتب التفسير والأصول يمكن إعادة قراءته بوصفه تخصيصاً لعموم أو تقييداً لمطلق أو انتقالاً من مرحلة تأسيسية إلى أخرى مع بقاء الأصل، أو اختلافاً في المخاطب والظرف لا رفعاً للحكم.</w:t>
      </w:r>
    </w:p>
    <w:p>
      <w:pPr>
        <w:spacing w:line="283" w:lineRule="auto" w:after="80"/>
        <w:ind w:firstLine="397"/>
        <w:jc w:val="both"/>
        <w:bidi/>
      </w:pPr>
      <w:r>
        <w:t>ينطلق الميزان من قوله تعالى: ﴿مَا نَنسَخْ مِنْ آيَةٍ أَوْ نُنسِهَا نَأْتِ بِخَيْرٍ مِّنْهَا أَوْ مِثْلِهَا﴾ (البقرة: 106)، ومن قوله: ﴿وَإِذَا بَدَّلْنَا آيَةً مَّكَانَ آيَةٍ وَاللَّهُ أَعْلَمُ بِمَا يُنَزِّلُ﴾ (النحل: 101)، مع قراءة هاتين الآيتين في سياقهما وشبكة القرآن، وعدم افتراض أن كل استعمال للنسخ أو التبديل يساوي اصطلاح الأصوليين المتأخر.</w:t>
      </w:r>
    </w:p>
    <w:p>
      <w:pPr>
        <w:spacing w:line="283" w:lineRule="auto" w:after="80"/>
        <w:ind w:firstLine="397"/>
        <w:jc w:val="both"/>
        <w:bidi/>
      </w:pPr>
      <w:r>
        <w:t>يقيم الكتاب بروتوكولاً صارماً قبل إثبات النسخ: تثبيت النص والقراءات، وتحديد الدعوى والحكم، وجمع جميع الآيات ذات الصلة، وتحرير المخاطب والمناط والزمن والسياق، واختبار إمكان الجمع، والتخصيص، والتقييد، والتدرج، والتعدد المقامي، ثم إثبات التاريخ بدليل معتبر، ثم فحص ما إذا كان الحكم الأول مؤقتاً أو دائماً. ولا تُقبل دعوى النسخ إذا أمكن تفسير العلاقة بوجه أضيق وأقل إهداراً للدلالة.</w:t>
      </w:r>
    </w:p>
    <w:p>
      <w:pPr>
        <w:spacing w:line="283" w:lineRule="auto" w:after="80"/>
        <w:ind w:firstLine="397"/>
        <w:jc w:val="both"/>
        <w:bidi/>
      </w:pPr>
      <w:r>
        <w:t>يعالج الكتاب كذلك النسخ بين القرآن والسنة، والنسخ داخل السنة عند اتصال ذلك بالتفسير، والفرق بين نسخ الحكم ونسخ التلاوة، ويخضع الروايات الواردة في ذلك لمنهج الحديث والرجال البياني. ويرفض نسبة رفع نص قرآني متلو إلى رواية آحاد من غير حجة توازي خطورة الدعوى، كما يميز بين تاريخ المصحف وتاريخ الأحكام.</w:t>
      </w:r>
    </w:p>
    <w:p>
      <w:pPr>
        <w:spacing w:line="283" w:lineRule="auto" w:after="80"/>
        <w:ind w:firstLine="397"/>
        <w:jc w:val="both"/>
        <w:bidi/>
      </w:pPr>
      <w:r>
        <w:t>ينتهي الكتاب إلى أن الأصل في التفسير البياني هو بقاء دلالة الآية وحكمها في مجالها ما لم يثبت رفعها بدليل محكم، وأن التخصيص والتقييد والجمع والتدرج وتغير المناط مقدمة في النظر على دعوى النسخ. ويصبح النسخ، إذا ثبت، ظاهرةً محددةً منضبطةً لا مفتاحاً واسعاً لإسقاط الآيات أو حل التوترات التفسيرية بلا برهان.</w:t>
      </w:r>
    </w:p>
    <w:p>
      <w:pPr>
        <w:pStyle w:val="Heading2"/>
        <w:spacing w:line="283" w:lineRule="auto" w:after="120"/>
        <w:jc w:val="right"/>
        <w:keepNext/>
        <w:bidi/>
      </w:pPr>
      <w:r>
        <w:t>المعادلة الحاكمة</w:t>
      </w:r>
    </w:p>
    <w:p>
      <w:pPr>
        <w:spacing w:line="283" w:lineRule="auto" w:after="80"/>
        <w:ind w:firstLine="397"/>
        <w:jc w:val="both"/>
        <w:bidi/>
      </w:pPr>
      <w:r>
        <w:t>تعارض ظاهري ← وتحرير الحكمين ← وجمع المدونة ← وتحديد المخاطب والمناط والسياق ← واختبار الجمع ← والتخصيص ← والتقييد ← والتفصيل ← والتدرج ← وتعدد المقام ← وإثبات التاريخ ← وفحص المؤقت والدائم ← ثم فقط: إثبات النسخ أو نفيه أو التوقف.</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النسخ وسؤال النظرية وحدود المصطلح</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النسخ في اللسان القرآني والاستعمال الأصولي</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آيتا البقرة 106 والنحل 101 في ميزان السياق</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وحدة القرآن والأصل في الجمع وبقاء الدلالة</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النسخ والتخصيص والتقييد والتفصيل</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النسخ والتدرج والتبديل وتغير المناط</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شرط التاريخ وإثبات المتقدم والمتأخر</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الخطاب والمخاطب والمقام وأثره في دعوى النسخ</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المكي والمدني وترتيب النزول في تحقيق النسخ</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النسخ بين القرآن والسنة وحدود حجية الرواية</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نسخ الحكم ونسخ التلاوة والروايات المتصلة به</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النسخ في التشريع: القتال والخمر والقبلة والوصية</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النسخ في الأسرة والحقوق والعقوبات</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النسخ والعقيدة والأخبار والقصص: ما لا يدخله النسخ</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تاريخ نظرية النسخ ومدارسها ونقد التوسع</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الخوارزمية البيانية والمصفوفة الحاسوبية للنسخ</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مختبرات تطبيقية في دعاوى النسخ الكبرى</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النسخ</w:t>
            </w:r>
          </w:p>
        </w:tc>
      </w:tr>
    </w:tbl>
    <w:p>
      <w:pPr>
        <w:spacing w:after="20"/>
      </w:pPr>
    </w:p>
    <w:p>
      <w:pPr>
        <w:pStyle w:val="Heading1"/>
        <w:spacing w:line="283" w:lineRule="auto" w:after="120"/>
        <w:jc w:val="right"/>
        <w:keepNext/>
        <w:bidi/>
      </w:pPr>
      <w:r>
        <w:t>الباب الأول: ماهية النسخ وسؤال النظرية وحدود المصطلح</w:t>
      </w:r>
    </w:p>
    <w:p>
      <w:pPr>
        <w:spacing w:line="283" w:lineRule="auto" w:after="80"/>
        <w:ind w:firstLine="397"/>
        <w:jc w:val="both"/>
        <w:bidi/>
      </w:pPr>
      <w:r>
        <w:t>السؤال الحاكم: ما النسخ الذي يختبره هذا العلم، وما الفرق بينه وبين مجرد تغير التطبيق؟ والفرضية الأولية: النسخ حكم تفسيري يثبت رفع دلالة حكمية سابقة في مجالها بعد ثبوت خطاب لاحق ناسخ، ولا يجوز توسيعه ليشمل كل اختلاف أو تدرج.</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النسخ الذي يختبره هذا العلم، وما الفرق بينه وبين مجرد تغير التطبيق؟ وتقوم فرضيته على أن النسخ حكم تفسيري يثبت رفع دلالة حكمية سابقة في مجالها بعد ثبوت خطاب لاحق ناسخ، ولا يجوز توسيعه ليشمل كل اختلاف أو تدرج.</w:t>
      </w:r>
    </w:p>
    <w:p>
      <w:pPr>
        <w:spacing w:line="283" w:lineRule="auto" w:after="80"/>
        <w:ind w:firstLine="397"/>
        <w:jc w:val="both"/>
        <w:bidi/>
      </w:pPr>
      <w:r>
        <w:t>يتعلق السؤال بمفاهيم النسخ والرفع والحكم.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النسخ والتبديل وبين الرفع والتخصيص، وبين الحكم والنص وبين الاصطلاح واللغة.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النسخ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النسخ والتبديل والرفع والتخصيص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المجال والدليل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التوسع في المصطلح، لأنه يحول النسخ من استثناء مضبوط إلى أداة لإسقاط النصوص التي يصعب الجمع بينها.</w:t>
      </w:r>
    </w:p>
    <w:p>
      <w:pPr>
        <w:spacing w:line="283" w:lineRule="auto" w:after="80"/>
        <w:ind w:firstLine="397"/>
        <w:jc w:val="both"/>
        <w:bidi/>
      </w:pPr>
      <w:r>
        <w:t>كما يظهر خطر إسقاط الآيات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الاعتماد على الشهرة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إهمال المجال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النسخ حكم تفسيري يثبت رفع دلالة حكمية سابقة في مجالها بعد ثبوت خطاب لاحق ناسخ، ولا يجوز توسيعه ليشمل كل اختلاف أو تدرج.</w:t>
      </w:r>
    </w:p>
    <w:p>
      <w:pPr>
        <w:spacing w:line="283" w:lineRule="auto" w:after="80"/>
        <w:ind w:firstLine="397"/>
        <w:jc w:val="both"/>
        <w:bidi/>
      </w:pPr>
      <w:r>
        <w:t>القاعدة الثانية: لا يُنقل الحكم من النسخ والتبديل إلى الرفع والتخصيص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الثاني: النسخ في اللسان القرآني والاستعمال الأصولي</w:t>
      </w:r>
    </w:p>
    <w:p>
      <w:pPr>
        <w:spacing w:line="283" w:lineRule="auto" w:after="80"/>
        <w:ind w:firstLine="397"/>
        <w:jc w:val="both"/>
        <w:bidi/>
      </w:pPr>
      <w:r>
        <w:t>السؤال الحاكم: هل يطابق لفظ النسخ في القرآن اصطلاح الأصوليين المتأخر؟ والفرضية الأولية: يجب بدء البحث بالاستعمال القرآني واللغوي ثم مقارنة الاصطلاح التاريخي به، من غير إسقاط المعنى الاصطلاحي على كل موضع.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هل يطابق لفظ النسخ في القرآن اصطلاح الأصوليين المتأخر؟ وتقوم فرضيته على أن يجب بدء البحث بالاستعمال القرآني واللغوي ثم مقارنة الاصطلاح التاريخي به، من غير إسقاط المعنى الاصطلاحي على كل موضع.</w:t>
      </w:r>
    </w:p>
    <w:p>
      <w:pPr>
        <w:spacing w:line="283" w:lineRule="auto" w:after="80"/>
        <w:ind w:firstLine="397"/>
        <w:jc w:val="both"/>
        <w:bidi/>
      </w:pPr>
      <w:r>
        <w:t>يتعلق السؤال بمفاهيم اللسان والاصطلاح والاستعمال.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اللغة والاصطلاح وبين النسخ والإزالة، وبين النسخ والإثبات وبين التبديل والرفع.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اللسان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اللغة والاصطلاح والنسخ والإزالة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النقل والتاريخ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الاشتقاق الحاكم، لأنه يحول النسخ من استثناء مضبوط إلى أداة لإسقاط النصوص التي يصعب الجمع بينها.</w:t>
      </w:r>
    </w:p>
    <w:p>
      <w:pPr>
        <w:spacing w:line="283" w:lineRule="auto" w:after="80"/>
        <w:ind w:firstLine="397"/>
        <w:jc w:val="both"/>
        <w:bidi/>
      </w:pPr>
      <w:r>
        <w:t>كما يظهر خطر الإسقاط الاصطلاحي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إهمال السياق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التعريف الدائري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يجب بدء البحث بالاستعمال القرآني واللغوي ثم مقارنة الاصطلاح التاريخي به، من غير إسقاط المعنى الاصطلاحي على كل موضع.</w:t>
      </w:r>
    </w:p>
    <w:p>
      <w:pPr>
        <w:spacing w:line="283" w:lineRule="auto" w:after="80"/>
        <w:ind w:firstLine="397"/>
        <w:jc w:val="both"/>
        <w:bidi/>
      </w:pPr>
      <w:r>
        <w:t>القاعدة الثانية: لا يُنقل الحكم من اللغة والاصطلاح إلى النسخ والإزالة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الثالث: آيتا البقرة 106 والنحل 101 في ميزان السياق</w:t>
      </w:r>
    </w:p>
    <w:p>
      <w:pPr>
        <w:spacing w:line="283" w:lineRule="auto" w:after="80"/>
        <w:ind w:firstLine="397"/>
        <w:jc w:val="both"/>
        <w:bidi/>
      </w:pPr>
      <w:r>
        <w:t>السؤال الحاكم: ما الذي تثبته آيتا البقرة والنحل عن النسخ والتبديل؟ والفرضية الأولية: لا تُفهم الآيتان منفصلتين عن سياقهما في الحجاج والوحي والتبديل، ويجب تحديد مدلول الآية فيهما قبل بناء نظرية عامة.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الذي تثبته آيتا البقرة والنحل عن النسخ والتبديل؟ وتقوم فرضيته على أن لا تُفهم الآيتان منفصلتين عن سياقهما في الحجاج والوحي والتبديل، ويجب تحديد مدلول الآية فيهما قبل بناء نظرية عامة.</w:t>
      </w:r>
    </w:p>
    <w:p>
      <w:pPr>
        <w:spacing w:line="283" w:lineRule="auto" w:after="80"/>
        <w:ind w:firstLine="397"/>
        <w:jc w:val="both"/>
        <w:bidi/>
      </w:pPr>
      <w:r>
        <w:t>يتعلق السؤال بمفاهيم البقرة106 والنحل101 والآية.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النص والسياق وبين الآية والعلامة، وبين التبديل والنسخ وبين الحكم والوحي.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البقرة106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النص والسياق والآية والعلامة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السياق والوحي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الاستشهاد المجتزأ، لأنه يحول النسخ من استثناء مضبوط إلى أداة لإسقاط النصوص التي يصعب الجمع بينها.</w:t>
      </w:r>
    </w:p>
    <w:p>
      <w:pPr>
        <w:spacing w:line="283" w:lineRule="auto" w:after="80"/>
        <w:ind w:firstLine="397"/>
        <w:jc w:val="both"/>
        <w:bidi/>
      </w:pPr>
      <w:r>
        <w:t>كما يظهر خطر فرض الاصطلاح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إهمال المخاطب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إلغاء السياق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لا تُفهم الآيتان منفصلتين عن سياقهما في الحجاج والوحي والتبديل، ويجب تحديد مدلول الآية فيهما قبل بناء نظرية عامة.</w:t>
      </w:r>
    </w:p>
    <w:p>
      <w:pPr>
        <w:spacing w:line="283" w:lineRule="auto" w:after="80"/>
        <w:ind w:firstLine="397"/>
        <w:jc w:val="both"/>
        <w:bidi/>
      </w:pPr>
      <w:r>
        <w:t>القاعدة الثانية: لا يُنقل الحكم من النص والسياق إلى الآية والعلامة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الرابع: وحدة القرآن والأصل في الجمع وبقاء الدلالة</w:t>
      </w:r>
    </w:p>
    <w:p>
      <w:pPr>
        <w:spacing w:line="283" w:lineRule="auto" w:after="80"/>
        <w:ind w:firstLine="397"/>
        <w:jc w:val="both"/>
        <w:bidi/>
      </w:pPr>
      <w:r>
        <w:t>السؤال الحاكم: هل الأصل في الآيات الجمع أم إسقاط إحداها بالنسخ؟ والفرضية الأولية: وحدة الكتاب وحاكمية المحكمات تقتضيان إبقاء الدلالات والجمع بينها ما أمكن، ولا ينتقل إلى النسخ إلا بعد تعذر الجمع المعتبر.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هل الأصل في الآيات الجمع أم إسقاط إحداها بالنسخ؟ وتقوم فرضيته على أن وحدة الكتاب وحاكمية المحكمات تقتضيان إبقاء الدلالات والجمع بينها ما أمكن، ولا ينتقل إلى النسخ إلا بعد تعذر الجمع المعتبر.</w:t>
      </w:r>
    </w:p>
    <w:p>
      <w:pPr>
        <w:spacing w:line="283" w:lineRule="auto" w:after="80"/>
        <w:ind w:firstLine="397"/>
        <w:jc w:val="both"/>
        <w:bidi/>
      </w:pPr>
      <w:r>
        <w:t>يتعلق السؤال بمفاهيم الوحدة والجمع والبقاء.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الجمع والنسخ وبين التعارض والتنوع، وبين البقاء والرفع وبين المحكم والمتشابه.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الوحدة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الجمع والنسخ والتعارض والتنوع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المحكم والتعارض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التسرع في النسخ، لأنه يحول النسخ من استثناء مضبوط إلى أداة لإسقاط النصوص التي يصعب الجمع بينها.</w:t>
      </w:r>
    </w:p>
    <w:p>
      <w:pPr>
        <w:spacing w:line="283" w:lineRule="auto" w:after="80"/>
        <w:ind w:firstLine="397"/>
        <w:jc w:val="both"/>
        <w:bidi/>
      </w:pPr>
      <w:r>
        <w:t>كما يظهر خطر التوفيق المتكلف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إهمال الاستثناء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الانتقاء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وحدة الكتاب وحاكمية المحكمات تقتضيان إبقاء الدلالات والجمع بينها ما أمكن، ولا ينتقل إلى النسخ إلا بعد تعذر الجمع المعتبر.</w:t>
      </w:r>
    </w:p>
    <w:p>
      <w:pPr>
        <w:spacing w:line="283" w:lineRule="auto" w:after="80"/>
        <w:ind w:firstLine="397"/>
        <w:jc w:val="both"/>
        <w:bidi/>
      </w:pPr>
      <w:r>
        <w:t>القاعدة الثانية: لا يُنقل الحكم من الجمع والنسخ إلى التعارض والتنوع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الخامس: النسخ والتخصيص والتقييد والتفصيل</w:t>
      </w:r>
    </w:p>
    <w:p>
      <w:pPr>
        <w:spacing w:line="283" w:lineRule="auto" w:after="80"/>
        <w:ind w:firstLine="397"/>
        <w:jc w:val="both"/>
        <w:bidi/>
      </w:pPr>
      <w:r>
        <w:t>السؤال الحاكم: كيف نميز النسخ من التخصيص والتقييد والتفصيل؟ والفرضية الأولية: التخصيص يبقي العام في غير المخصص، والتقييد يبقي المطلق في حدوده، والتفصيل يشرح المجمل؛ أما النسخ فيرفع الحكم السابق في مجاله.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نميز النسخ من التخصيص والتقييد والتفصيل؟ وتقوم فرضيته على أن التخصيص يبقي العام في غير المخصص، والتقييد يبقي المطلق في حدوده، والتفصيل يشرح المجمل؛ أما النسخ فيرفع الحكم السابق في مجاله.</w:t>
      </w:r>
    </w:p>
    <w:p>
      <w:pPr>
        <w:spacing w:line="283" w:lineRule="auto" w:after="80"/>
        <w:ind w:firstLine="397"/>
        <w:jc w:val="both"/>
        <w:bidi/>
      </w:pPr>
      <w:r>
        <w:t>يتعلق السؤال بمفاهيم التخصيص والتقييد والتفصيل.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النسخ والتخصيص وبين الرفع والتقييد، وبين الإجمال والتفصيل وبين المجال والمناط.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التخصيص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النسخ والتخصيص والرفع والتقييد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العموم والإطلاق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خلط الأدوات، لأنه يحول النسخ من استثناء مضبوط إلى أداة لإسقاط النصوص التي يصعب الجمع بينها.</w:t>
      </w:r>
    </w:p>
    <w:p>
      <w:pPr>
        <w:spacing w:line="283" w:lineRule="auto" w:after="80"/>
        <w:ind w:firstLine="397"/>
        <w:jc w:val="both"/>
        <w:bidi/>
      </w:pPr>
      <w:r>
        <w:t>كما يظهر خطر رفع العام كله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إلغاء المطلق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إهدار التفصيل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التخصيص يبقي العام في غير المخصص، والتقييد يبقي المطلق في حدوده، والتفصيل يشرح المجمل؛ أما النسخ فيرفع الحكم السابق في مجاله.</w:t>
      </w:r>
    </w:p>
    <w:p>
      <w:pPr>
        <w:spacing w:line="283" w:lineRule="auto" w:after="80"/>
        <w:ind w:firstLine="397"/>
        <w:jc w:val="both"/>
        <w:bidi/>
      </w:pPr>
      <w:r>
        <w:t>القاعدة الثانية: لا يُنقل الحكم من النسخ والتخصيص إلى الرفع والتقييد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السادس: النسخ والتدرج والتبديل وتغير المناط</w:t>
      </w:r>
    </w:p>
    <w:p>
      <w:pPr>
        <w:spacing w:line="283" w:lineRule="auto" w:after="80"/>
        <w:ind w:firstLine="397"/>
        <w:jc w:val="both"/>
        <w:bidi/>
      </w:pPr>
      <w:r>
        <w:t>السؤال الحاكم: متى يكون التدرج نسخاً ومتى يكون بناءً مرحلياً للحكم؟ والفرضية الأولية: التدرج قد يتضمن انتقالاً تشريعياً من مرحلة إلى مرحلة، لكنه لا يثبت النسخ إلا إذا كان الحكم الأول مراداً رفعه بعد ثبوت مرحلة لاحقة ناسخة.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متى يكون التدرج نسخاً ومتى يكون بناءً مرحلياً للحكم؟ وتقوم فرضيته على أن التدرج قد يتضمن انتقالاً تشريعياً من مرحلة إلى مرحلة، لكنه لا يثبت النسخ إلا إذا كان الحكم الأول مراداً رفعه بعد ثبوت مرحلة لاحقة ناسخة.</w:t>
      </w:r>
    </w:p>
    <w:p>
      <w:pPr>
        <w:spacing w:line="283" w:lineRule="auto" w:after="80"/>
        <w:ind w:firstLine="397"/>
        <w:jc w:val="both"/>
        <w:bidi/>
      </w:pPr>
      <w:r>
        <w:t>يتعلق السؤال بمفاهيم التدرج والتبديل والمرحلة.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التدرج والنسخ وبين المؤقت والدائم، وبين المرحلة والحكم وبين التبديل والتطوير.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التدرج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التدرج والنسخ والمؤقت والدائم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المناط والغاية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جبر كل تدرج على النسخ، لأنه يحول النسخ من استثناء مضبوط إلى أداة لإسقاط النصوص التي يصعب الجمع بينها.</w:t>
      </w:r>
    </w:p>
    <w:p>
      <w:pPr>
        <w:spacing w:line="283" w:lineRule="auto" w:after="80"/>
        <w:ind w:firstLine="397"/>
        <w:jc w:val="both"/>
        <w:bidi/>
      </w:pPr>
      <w:r>
        <w:t>كما يظهر خطر إهمال المقصد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تعميم المؤقت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قراءة تاريخية زائدة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التدرج قد يتضمن انتقالاً تشريعياً من مرحلة إلى مرحلة، لكنه لا يثبت النسخ إلا إذا كان الحكم الأول مراداً رفعه بعد ثبوت مرحلة لاحقة ناسخة.</w:t>
      </w:r>
    </w:p>
    <w:p>
      <w:pPr>
        <w:spacing w:line="283" w:lineRule="auto" w:after="80"/>
        <w:ind w:firstLine="397"/>
        <w:jc w:val="both"/>
        <w:bidi/>
      </w:pPr>
      <w:r>
        <w:t>القاعدة الثانية: لا يُنقل الحكم من التدرج والنسخ إلى المؤقت والدائم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السابع: شرط التاريخ وإثبات المتقدم والمتأخر</w:t>
      </w:r>
    </w:p>
    <w:p>
      <w:pPr>
        <w:spacing w:line="283" w:lineRule="auto" w:after="80"/>
        <w:ind w:firstLine="397"/>
        <w:jc w:val="both"/>
        <w:bidi/>
      </w:pPr>
      <w:r>
        <w:t>السؤال الحاكم: هل يمكن إثبات النسخ بلا تاريخ معتبر؟ والفرضية الأولية: النسخ علاقة زمنية بطبيعتها، فلا يثبت مع جهل المتقدم والمتأخر إلا بدليل آخر صريح في الرفع، ويجب التمييز بين تاريخ السورة وتاريخ الحكم المحدد.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هل يمكن إثبات النسخ بلا تاريخ معتبر؟ وتقوم فرضيته على أن النسخ علاقة زمنية بطبيعتها، فلا يثبت مع جهل المتقدم والمتأخر إلا بدليل آخر صريح في الرفع، ويجب التمييز بين تاريخ السورة وتاريخ الحكم المحدد.</w:t>
      </w:r>
    </w:p>
    <w:p>
      <w:pPr>
        <w:spacing w:line="283" w:lineRule="auto" w:after="80"/>
        <w:ind w:firstLine="397"/>
        <w:jc w:val="both"/>
        <w:bidi/>
      </w:pPr>
      <w:r>
        <w:t>يتعلق السؤال بمفاهيم التاريخ والمتقدم والمتأخر.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التاريخ والدلالة وبين السورة والآية، وبين النزول والتطبيق وبين السبق والنسخ.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التاريخ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التاريخ والدلالة والسورة والآية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النزول والحكم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التاريخ التخمني، لأنه يحول النسخ من استثناء مضبوط إلى أداة لإسقاط النصوص التي يصعب الجمع بينها.</w:t>
      </w:r>
    </w:p>
    <w:p>
      <w:pPr>
        <w:spacing w:line="283" w:lineRule="auto" w:after="80"/>
        <w:ind w:firstLine="397"/>
        <w:jc w:val="both"/>
        <w:bidi/>
      </w:pPr>
      <w:r>
        <w:t>كما يظهر خطر ترتيب المصحف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الاعتماد على رواية ضعيفة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تعميم تاريخ السورة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النسخ علاقة زمنية بطبيعتها، فلا يثبت مع جهل المتقدم والمتأخر إلا بدليل آخر صريح في الرفع، ويجب التمييز بين تاريخ السورة وتاريخ الحكم المحدد.</w:t>
      </w:r>
    </w:p>
    <w:p>
      <w:pPr>
        <w:spacing w:line="283" w:lineRule="auto" w:after="80"/>
        <w:ind w:firstLine="397"/>
        <w:jc w:val="both"/>
        <w:bidi/>
      </w:pPr>
      <w:r>
        <w:t>القاعدة الثانية: لا يُنقل الحكم من التاريخ والدلالة إلى السورة والآية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الثامن: الخطاب والمخاطب والمقام وأثره في دعوى النسخ</w:t>
      </w:r>
    </w:p>
    <w:p>
      <w:pPr>
        <w:spacing w:line="283" w:lineRule="auto" w:after="80"/>
        <w:ind w:firstLine="397"/>
        <w:jc w:val="both"/>
        <w:bidi/>
      </w:pPr>
      <w:r>
        <w:t>السؤال الحاكم: كيف يغير المخاطب والمقام تقدير التعارض والنسخ؟ والفرضية الأولية: اختلاف المخاطب أو المقام أو السلطة أو حالة الجماعة قد يفسر اختلاف الحكم من غير رفع، لذلك يجب تحرير المقام قبل دعوى النسخ.</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يغير المخاطب والمقام تقدير التعارض والنسخ؟ وتقوم فرضيته على أن اختلاف المخاطب أو المقام أو السلطة أو حالة الجماعة قد يفسر اختلاف الحكم من غير رفع، لذلك يجب تحرير المقام قبل دعوى النسخ.</w:t>
      </w:r>
    </w:p>
    <w:p>
      <w:pPr>
        <w:spacing w:line="283" w:lineRule="auto" w:after="80"/>
        <w:ind w:firstLine="397"/>
        <w:jc w:val="both"/>
        <w:bidi/>
      </w:pPr>
      <w:r>
        <w:t>يتعلق السؤال بمفاهيم المخاطب والمقام والسلطة.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المخاطب والعموم وبين المقام والنسخ، وبين الظرف والحكم وبين السلطة والتكليف.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المخاطب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المخاطب والعموم والمقام والنسخ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الجماعة والوظيفة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إهمال المخاطب، لأنه يحول النسخ من استثناء مضبوط إلى أداة لإسقاط النصوص التي يصعب الجمع بينها.</w:t>
      </w:r>
    </w:p>
    <w:p>
      <w:pPr>
        <w:spacing w:line="283" w:lineRule="auto" w:after="80"/>
        <w:ind w:firstLine="397"/>
        <w:jc w:val="both"/>
        <w:bidi/>
      </w:pPr>
      <w:r>
        <w:t>كما يظهر خطر إلغاء العموم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اختلاق مقام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تسييل الحكم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اختلاف المخاطب أو المقام أو السلطة أو حالة الجماعة قد يفسر اختلاف الحكم من غير رفع، لذلك يجب تحرير المقام قبل دعوى النسخ.</w:t>
      </w:r>
    </w:p>
    <w:p>
      <w:pPr>
        <w:spacing w:line="283" w:lineRule="auto" w:after="80"/>
        <w:ind w:firstLine="397"/>
        <w:jc w:val="both"/>
        <w:bidi/>
      </w:pPr>
      <w:r>
        <w:t>القاعدة الثانية: لا يُنقل الحكم من المخاطب والعموم إلى المقام والنسخ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التاسع: المكي والمدني وترتيب النزول في تحقيق النسخ</w:t>
      </w:r>
    </w:p>
    <w:p>
      <w:pPr>
        <w:spacing w:line="283" w:lineRule="auto" w:after="80"/>
        <w:ind w:firstLine="397"/>
        <w:jc w:val="both"/>
        <w:bidi/>
      </w:pPr>
      <w:r>
        <w:t>السؤال الحاكم: ما قيمة المكي والمدني وترتيب النزول في النسخ؟ والفرضية الأولية: المكي والمدني قرينة زمنية مهمة لكنها لا تكفي وحدها، لأن السورة قد تضم مواضع مختلفة الزمن ولأن الحكم قد يتأخر تطبيقه عن نزوله.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قيمة المكي والمدني وترتيب النزول في النسخ؟ وتقوم فرضيته على أن المكي والمدني قرينة زمنية مهمة لكنها لا تكفي وحدها، لأن السورة قد تضم مواضع مختلفة الزمن ولأن الحكم قد يتأخر تطبيقه عن نزوله.</w:t>
      </w:r>
    </w:p>
    <w:p>
      <w:pPr>
        <w:spacing w:line="283" w:lineRule="auto" w:after="80"/>
        <w:ind w:firstLine="397"/>
        <w:jc w:val="both"/>
        <w:bidi/>
      </w:pPr>
      <w:r>
        <w:t>يتعلق السؤال بمفاهيم المكي والمدني والترتيب.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المكي والمدني وبين الترتيب والتاريخ، وبين السورة والحكم وبين النزول والتلقي.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المكي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المكي والمدني والترتيب والتاريخ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السورة والقرينة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التصنيف الثنائي الجامد، لأنه يحول النسخ من استثناء مضبوط إلى أداة لإسقاط النصوص التي يصعب الجمع بينها.</w:t>
      </w:r>
    </w:p>
    <w:p>
      <w:pPr>
        <w:spacing w:line="283" w:lineRule="auto" w:after="80"/>
        <w:ind w:firstLine="397"/>
        <w:jc w:val="both"/>
        <w:bidi/>
      </w:pPr>
      <w:r>
        <w:t>كما يظهر خطر تاريخ السورة الكلي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إهمال الاستثناءات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الاعتماد على قوائم متعارضة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المكي والمدني قرينة زمنية مهمة لكنها لا تكفي وحدها، لأن السورة قد تضم مواضع مختلفة الزمن ولأن الحكم قد يتأخر تطبيقه عن نزوله.</w:t>
      </w:r>
    </w:p>
    <w:p>
      <w:pPr>
        <w:spacing w:line="283" w:lineRule="auto" w:after="80"/>
        <w:ind w:firstLine="397"/>
        <w:jc w:val="both"/>
        <w:bidi/>
      </w:pPr>
      <w:r>
        <w:t>القاعدة الثانية: لا يُنقل الحكم من المكي والمدني إلى الترتيب والتاريخ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العاشر: النسخ بين القرآن والسنة وحدود حجية الرواية</w:t>
      </w:r>
    </w:p>
    <w:p>
      <w:pPr>
        <w:spacing w:line="283" w:lineRule="auto" w:after="80"/>
        <w:ind w:firstLine="397"/>
        <w:jc w:val="both"/>
        <w:bidi/>
      </w:pPr>
      <w:r>
        <w:t>السؤال الحاكم: هل تنسخ السنة القرآن أو ينسخ القرآن السنة؟ والفرضية الأولية: تحتاج علاقة النسخ بين القرآن والسنة إلى تعريف مرتبة السنة الثابتة ونوع الدليل والتاريخ، ولا يجوز رفع القرآن بخبر لا يوازيه ثبوتاً ودلالة.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هل تنسخ السنة القرآن أو ينسخ القرآن السنة؟ وتقوم فرضيته على أن تحتاج علاقة النسخ بين القرآن والسنة إلى تعريف مرتبة السنة الثابتة ونوع الدليل والتاريخ، ولا يجوز رفع القرآن بخبر لا يوازيه ثبوتاً ودلالة.</w:t>
      </w:r>
    </w:p>
    <w:p>
      <w:pPr>
        <w:spacing w:line="283" w:lineRule="auto" w:after="80"/>
        <w:ind w:firstLine="397"/>
        <w:jc w:val="both"/>
        <w:bidi/>
      </w:pPr>
      <w:r>
        <w:t>يتعلق السؤال بمفاهيم القرآن والسنة والحجية.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القرآن والسنة وبين البيان والنسخ، وبين التخصيص والرفع وبين الثبوت والحجية.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القرآن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القرآن والسنة والبيان والنسخ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الثبوت والتاريخ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رفع القرآن بخبر ضعيف، لأنه يحول النسخ من استثناء مضبوط إلى أداة لإسقاط النصوص التي يصعب الجمع بينها.</w:t>
      </w:r>
    </w:p>
    <w:p>
      <w:pPr>
        <w:spacing w:line="283" w:lineRule="auto" w:after="80"/>
        <w:ind w:firstLine="397"/>
        <w:jc w:val="both"/>
        <w:bidi/>
      </w:pPr>
      <w:r>
        <w:t>كما يظهر خطر إلغاء السنة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خلط البيان بالنسخ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إهمال التواتر العملي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تحتاج علاقة النسخ بين القرآن والسنة إلى تعريف مرتبة السنة الثابتة ونوع الدليل والتاريخ، ولا يجوز رفع القرآن بخبر لا يوازيه ثبوتاً ودلالة.</w:t>
      </w:r>
    </w:p>
    <w:p>
      <w:pPr>
        <w:spacing w:line="283" w:lineRule="auto" w:after="80"/>
        <w:ind w:firstLine="397"/>
        <w:jc w:val="both"/>
        <w:bidi/>
      </w:pPr>
      <w:r>
        <w:t>القاعدة الثانية: لا يُنقل الحكم من القرآن والسنة إلى البيان والنسخ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الحادي عشر: نسخ الحكم ونسخ التلاوة والروايات المتصلة به</w:t>
      </w:r>
    </w:p>
    <w:p>
      <w:pPr>
        <w:spacing w:line="283" w:lineRule="auto" w:after="80"/>
        <w:ind w:firstLine="397"/>
        <w:jc w:val="both"/>
        <w:bidi/>
      </w:pPr>
      <w:r>
        <w:t>السؤال الحاكم: ما حقيقة نسخ التلاوة، وما معيار قبول الروايات فيه؟ والفرضية الأولية: دعوى سقوط نص قرآني متلو عالية الأثر، فلا تثبت بمجرد أخبار آحاد أو تعارضات تفسيرية، ويجب فصل تاريخ المصحف من أحكام التلاوة.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حقيقة نسخ التلاوة، وما معيار قبول الروايات فيه؟ وتقوم فرضيته على أن دعوى سقوط نص قرآني متلو عالية الأثر، فلا تثبت بمجرد أخبار آحاد أو تعارضات تفسيرية، ويجب فصل تاريخ المصحف من أحكام التلاوة.</w:t>
      </w:r>
    </w:p>
    <w:p>
      <w:pPr>
        <w:spacing w:line="283" w:lineRule="auto" w:after="80"/>
        <w:ind w:firstLine="397"/>
        <w:jc w:val="both"/>
        <w:bidi/>
      </w:pPr>
      <w:r>
        <w:t>يتعلق السؤال بمفاهيم التلاوة والمصحف والرواية.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نسخ الحكم والتلاوة وبين المصحف والرواية، وبين الحفظ والتاريخ وبين النص والحكم.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التلاوة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نسخ الحكم والتلاوة والمصحف والرواية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الحفظ والنص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توسيع نسخ التلاوة، لأنه يحول النسخ من استثناء مضبوط إلى أداة لإسقاط النصوص التي يصعب الجمع بينها.</w:t>
      </w:r>
    </w:p>
    <w:p>
      <w:pPr>
        <w:spacing w:line="283" w:lineRule="auto" w:after="80"/>
        <w:ind w:firstLine="397"/>
        <w:jc w:val="both"/>
        <w:bidi/>
      </w:pPr>
      <w:r>
        <w:t>كما يظهر خطر تعارض الحفظ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الاعتماد على آحاد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خلط القراءة بالرواية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دعوى سقوط نص قرآني متلو عالية الأثر، فلا تثبت بمجرد أخبار آحاد أو تعارضات تفسيرية، ويجب فصل تاريخ المصحف من أحكام التلاوة.</w:t>
      </w:r>
    </w:p>
    <w:p>
      <w:pPr>
        <w:spacing w:line="283" w:lineRule="auto" w:after="80"/>
        <w:ind w:firstLine="397"/>
        <w:jc w:val="both"/>
        <w:bidi/>
      </w:pPr>
      <w:r>
        <w:t>القاعدة الثانية: لا يُنقل الحكم من نسخ الحكم والتلاوة إلى المصحف والرواية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الثاني عشر: النسخ في التشريع: القتال والخمر والقبلة والوصية</w:t>
      </w:r>
    </w:p>
    <w:p>
      <w:pPr>
        <w:spacing w:line="283" w:lineRule="auto" w:after="80"/>
        <w:ind w:firstLine="397"/>
        <w:jc w:val="both"/>
        <w:bidi/>
      </w:pPr>
      <w:r>
        <w:t>السؤال الحاكم: كيف تختبر دعاوى النسخ في أشهر أبواب التشريع؟ والفرضية الأولية: تُعاد كل دعوى إلى نصها ومجالها وتاريخها ومناطها، ويُختبر التخصيص والتدرج قبل النسخ في القتال والخمر والقبلة والوصية.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تختبر دعاوى النسخ في أشهر أبواب التشريع؟ وتقوم فرضيته على أن تُعاد كل دعوى إلى نصها ومجالها وتاريخها ومناطها، ويُختبر التخصيص والتدرج قبل النسخ في القتال والخمر والقبلة والوصية.</w:t>
      </w:r>
    </w:p>
    <w:p>
      <w:pPr>
        <w:spacing w:line="283" w:lineRule="auto" w:after="80"/>
        <w:ind w:firstLine="397"/>
        <w:jc w:val="both"/>
        <w:bidi/>
      </w:pPr>
      <w:r>
        <w:t>يتعلق السؤال بمفاهيم القتال والخمر والقبلة.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التدرج والرفع وبين العموم والخصوص، وبين الحكم والمناط وبين الوصية والميراث.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القتال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التدرج والرفع والعموم والخصوص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الوصية والتشريع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التعميم التاريخي، لأنه يحول النسخ من استثناء مضبوط إلى أداة لإسقاط النصوص التي يصعب الجمع بينها.</w:t>
      </w:r>
    </w:p>
    <w:p>
      <w:pPr>
        <w:spacing w:line="283" w:lineRule="auto" w:after="80"/>
        <w:ind w:firstLine="397"/>
        <w:jc w:val="both"/>
        <w:bidi/>
      </w:pPr>
      <w:r>
        <w:t>كما يظهر خطر إلغاء الرحمة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جعل كل مرحلة ناسخة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تجاهل الجمع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تُعاد كل دعوى إلى نصها ومجالها وتاريخها ومناطها، ويُختبر التخصيص والتدرج قبل النسخ في القتال والخمر والقبلة والوصية.</w:t>
      </w:r>
    </w:p>
    <w:p>
      <w:pPr>
        <w:spacing w:line="283" w:lineRule="auto" w:after="80"/>
        <w:ind w:firstLine="397"/>
        <w:jc w:val="both"/>
        <w:bidi/>
      </w:pPr>
      <w:r>
        <w:t>القاعدة الثانية: لا يُنقل الحكم من التدرج والرفع إلى العموم والخصوص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الثالث عشر: النسخ في الأسرة والحقوق والعقوبات</w:t>
      </w:r>
    </w:p>
    <w:p>
      <w:pPr>
        <w:spacing w:line="283" w:lineRule="auto" w:after="80"/>
        <w:ind w:firstLine="397"/>
        <w:jc w:val="both"/>
        <w:bidi/>
      </w:pPr>
      <w:r>
        <w:t>السؤال الحاكم: كيف تمنع دعوى النسخ من الإضرار بالحقوق الأسرية والجنائية؟ والفرضية الأولية: في الحقوق والعقوبات ترتفع عتبة إثبات النسخ، لأن رفع نص أو حكم قد يغير حقاً أو عقوبة، فلا يثبت بالاحتمال أو الاختصار.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تمنع دعوى النسخ من الإضرار بالحقوق الأسرية والجنائية؟ وتقوم فرضيته على أن في الحقوق والعقوبات ترتفع عتبة إثبات النسخ، لأن رفع نص أو حكم قد يغير حقاً أو عقوبة، فلا يثبت بالاحتمال أو الاختصار.</w:t>
      </w:r>
    </w:p>
    <w:p>
      <w:pPr>
        <w:spacing w:line="283" w:lineRule="auto" w:after="80"/>
        <w:ind w:firstLine="397"/>
        <w:jc w:val="both"/>
        <w:bidi/>
      </w:pPr>
      <w:r>
        <w:t>يتعلق السؤال بمفاهيم الأسرة والحقوق والعقوبات.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الحكم والحق وبين النسخ والتخصيص، وبين العقوبة والدليل وبين العام والخاص.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الأسرة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الحكم والحق والنسخ والتخصيص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العدالة والعتبة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خفض عتبة الدليل، لأنه يحول النسخ من استثناء مضبوط إلى أداة لإسقاط النصوص التي يصعب الجمع بينها.</w:t>
      </w:r>
    </w:p>
    <w:p>
      <w:pPr>
        <w:spacing w:line="283" w:lineRule="auto" w:after="80"/>
        <w:ind w:firstLine="397"/>
        <w:jc w:val="both"/>
        <w:bidi/>
      </w:pPr>
      <w:r>
        <w:t>كما يظهر خطر إهدار الحقوق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تعميم واقعة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توظيف مذهبي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الحقوق والعقوبات ترتفع عتبة إثبات النسخ، لأن رفع نص أو حكم قد يغير حقاً أو عقوبة، فلا يثبت بالاحتمال أو الاختصار.</w:t>
      </w:r>
    </w:p>
    <w:p>
      <w:pPr>
        <w:spacing w:line="283" w:lineRule="auto" w:after="80"/>
        <w:ind w:firstLine="397"/>
        <w:jc w:val="both"/>
        <w:bidi/>
      </w:pPr>
      <w:r>
        <w:t>القاعدة الثانية: لا يُنقل الحكم من الحكم والحق إلى النسخ والتخصيص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الرابع عشر: النسخ والعقيدة والأخبار والقصص: ما لا يدخله النسخ</w:t>
      </w:r>
    </w:p>
    <w:p>
      <w:pPr>
        <w:spacing w:line="283" w:lineRule="auto" w:after="80"/>
        <w:ind w:firstLine="397"/>
        <w:jc w:val="both"/>
        <w:bidi/>
      </w:pPr>
      <w:r>
        <w:t>السؤال الحاكم: هل يدخل النسخ الأخبار والعقائد والقصص؟ والفرضية الأولية: النسخ في الأصل متعلق بالخطاب الحكمي والتكليفي، أما الأخبار والعقائد والوقائع الماضية فلا معنى لرفع صدقها، وإن تغير البيان أو التفصيل.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هل يدخل النسخ الأخبار والعقائد والقصص؟ وتقوم فرضيته على أن النسخ في الأصل متعلق بالخطاب الحكمي والتكليفي، أما الأخبار والعقائد والوقائع الماضية فلا معنى لرفع صدقها، وإن تغير البيان أو التفصيل.</w:t>
      </w:r>
    </w:p>
    <w:p>
      <w:pPr>
        <w:spacing w:line="283" w:lineRule="auto" w:after="80"/>
        <w:ind w:firstLine="397"/>
        <w:jc w:val="both"/>
        <w:bidi/>
      </w:pPr>
      <w:r>
        <w:t>يتعلق السؤال بمفاهيم العقيدة والخبر والقصة.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الخبر والحكم وبين التفصيل والنسخ، وبين العقيدة والتشريع وبين الصدق والتكليف.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العقيدة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الخبر والحكم والتفصيل والنسخ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الصدق والحكم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نسخ الأخبار، لأنه يحول النسخ من استثناء مضبوط إلى أداة لإسقاط النصوص التي يصعب الجمع بينها.</w:t>
      </w:r>
    </w:p>
    <w:p>
      <w:pPr>
        <w:spacing w:line="283" w:lineRule="auto" w:after="80"/>
        <w:ind w:firstLine="397"/>
        <w:jc w:val="both"/>
        <w:bidi/>
      </w:pPr>
      <w:r>
        <w:t>كما يظهر خطر حل التعارض التاريخي بالنسخ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إلغاء القصص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خلط البيان بالحكم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النسخ في الأصل متعلق بالخطاب الحكمي والتكليفي، أما الأخبار والعقائد والوقائع الماضية فلا معنى لرفع صدقها، وإن تغير البيان أو التفصيل.</w:t>
      </w:r>
    </w:p>
    <w:p>
      <w:pPr>
        <w:spacing w:line="283" w:lineRule="auto" w:after="80"/>
        <w:ind w:firstLine="397"/>
        <w:jc w:val="both"/>
        <w:bidi/>
      </w:pPr>
      <w:r>
        <w:t>القاعدة الثانية: لا يُنقل الحكم من الخبر والحكم إلى التفصيل والنسخ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الخامس عشر: تاريخ نظرية النسخ ومدارسها ونقد التوسع</w:t>
      </w:r>
    </w:p>
    <w:p>
      <w:pPr>
        <w:spacing w:line="283" w:lineRule="auto" w:after="80"/>
        <w:ind w:firstLine="397"/>
        <w:jc w:val="both"/>
        <w:bidi/>
      </w:pPr>
      <w:r>
        <w:t>السؤال الحاكم: كيف نشأت نظرية النسخ وتوسعت أو ضاقت في المدارس؟ والفرضية الأولية: تاريخ المصطلح يكشف انتقاله من استعمالات أوسع إلى تقنين أصولي، ويجب نقد أرقام المنسوخات وقوائمها على ضوء النص والسياق والدليل.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نشأت نظرية النسخ وتوسعت أو ضاقت في المدارس؟ وتقوم فرضيته على أن تاريخ المصطلح يكشف انتقاله من استعمالات أوسع إلى تقنين أصولي، ويجب نقد أرقام المنسوخات وقوائمها على ضوء النص والسياق والدليل.</w:t>
      </w:r>
    </w:p>
    <w:p>
      <w:pPr>
        <w:spacing w:line="283" w:lineRule="auto" w:after="80"/>
        <w:ind w:firstLine="397"/>
        <w:jc w:val="both"/>
        <w:bidi/>
      </w:pPr>
      <w:r>
        <w:t>يتعلق السؤال بمفاهيم التاريخ والمدارس والقوائم.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المبكر والمتأخر وبين الأصول والتفسير، وبين التوسع والتضييق وبين القائمة والتحقيق.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التاريخ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المبكر والمتأخر والأصول والتفسير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التقنين والنقد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الاحتجاج بالعدد، لأنه يحول النسخ من استثناء مضبوط إلى أداة لإسقاط النصوص التي يصعب الجمع بينها.</w:t>
      </w:r>
    </w:p>
    <w:p>
      <w:pPr>
        <w:spacing w:line="283" w:lineRule="auto" w:after="80"/>
        <w:ind w:firstLine="397"/>
        <w:jc w:val="both"/>
        <w:bidi/>
      </w:pPr>
      <w:r>
        <w:t>كما يظهر خطر الهوية المذهبية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تقديس القوائم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إلغاء التراث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تاريخ المصطلح يكشف انتقاله من استعمالات أوسع إلى تقنين أصولي، ويجب نقد أرقام المنسوخات وقوائمها على ضوء النص والسياق والدليل.</w:t>
      </w:r>
    </w:p>
    <w:p>
      <w:pPr>
        <w:spacing w:line="283" w:lineRule="auto" w:after="80"/>
        <w:ind w:firstLine="397"/>
        <w:jc w:val="both"/>
        <w:bidi/>
      </w:pPr>
      <w:r>
        <w:t>القاعدة الثانية: لا يُنقل الحكم من المبكر والمتأخر إلى الأصول والتفسير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السادس عشر: الخوارزمية البيانية والمصفوفة الحاسوبية للنسخ</w:t>
      </w:r>
    </w:p>
    <w:p>
      <w:pPr>
        <w:spacing w:line="283" w:lineRule="auto" w:after="80"/>
        <w:ind w:firstLine="397"/>
        <w:jc w:val="both"/>
        <w:bidi/>
      </w:pPr>
      <w:r>
        <w:t>السؤال الحاكم: كيف تتحول نظرية النسخ إلى خوارزمية قابلة للتدقيق؟ والفرضية الأولية: يجب أن يسجل النظام كل دعوى ناسخ ومنسوخ مع النص والتاريخ ونوع العلاقة وبدائل الجمع والقرائن والاعتراضات والإصدار.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كيف تتحول نظرية النسخ إلى خوارزمية قابلة للتدقيق؟ وتقوم فرضيته على أن يجب أن يسجل النظام كل دعوى ناسخ ومنسوخ مع النص والتاريخ ونوع العلاقة وبدائل الجمع والقرائن والاعتراضات والإصدار.</w:t>
      </w:r>
    </w:p>
    <w:p>
      <w:pPr>
        <w:spacing w:line="283" w:lineRule="auto" w:after="80"/>
        <w:ind w:firstLine="397"/>
        <w:jc w:val="both"/>
        <w:bidi/>
      </w:pPr>
      <w:r>
        <w:t>يتعلق السؤال بمفاهيم الخوارزمية والمصفوفة والعلاقة.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البيانات والحكم وبين الاقتراح والاعتماد، وبين العلاقة والدرجة وبين النسخ والجمع.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الخوارزمية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البيانات والحكم والاقتراح والاعتماد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البدائل والإصدار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الصندوق الأسود، لأنه يحول النسخ من استثناء مضبوط إلى أداة لإسقاط النصوص التي يصعب الجمع بينها.</w:t>
      </w:r>
    </w:p>
    <w:p>
      <w:pPr>
        <w:spacing w:line="283" w:lineRule="auto" w:after="80"/>
        <w:ind w:firstLine="397"/>
        <w:jc w:val="both"/>
        <w:bidi/>
      </w:pPr>
      <w:r>
        <w:t>كما يظهر خطر الدرجة الواحدة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إخفاء البدائل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النسخ الآلي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يجب أن يسجل النظام كل دعوى ناسخ ومنسوخ مع النص والتاريخ ونوع العلاقة وبدائل الجمع والقرائن والاعتراضات والإصدار.</w:t>
      </w:r>
    </w:p>
    <w:p>
      <w:pPr>
        <w:spacing w:line="283" w:lineRule="auto" w:after="80"/>
        <w:ind w:firstLine="397"/>
        <w:jc w:val="both"/>
        <w:bidi/>
      </w:pPr>
      <w:r>
        <w:t>القاعدة الثانية: لا يُنقل الحكم من البيانات والحكم إلى الاقتراح والاعتماد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السابع عشر: مختبرات تطبيقية في دعاوى النسخ الكبرى</w:t>
      </w:r>
    </w:p>
    <w:p>
      <w:pPr>
        <w:spacing w:line="283" w:lineRule="auto" w:after="80"/>
        <w:ind w:firstLine="397"/>
        <w:jc w:val="both"/>
        <w:bidi/>
      </w:pPr>
      <w:r>
        <w:t>السؤال الحاكم: ما الذي تكشفه المختبرات عن قوة النظرية وحدودها؟ والفرضية الأولية: لا يكفي نجاح النظرية في أمثلة سهلة؛ يجب اختبار أشهر دعاوى النسخ والحالات التي تتعادل فيها القرائن والمواضع التي يختلف فيها التاريخ.</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الذي تكشفه المختبرات عن قوة النظرية وحدودها؟ وتقوم فرضيته على أن لا يكفي نجاح النظرية في أمثلة سهلة؛ يجب اختبار أشهر دعاوى النسخ والحالات التي تتعادل فيها القرائن والمواضع التي يختلف فيها التاريخ.</w:t>
      </w:r>
    </w:p>
    <w:p>
      <w:pPr>
        <w:spacing w:line="283" w:lineRule="auto" w:after="80"/>
        <w:ind w:firstLine="397"/>
        <w:jc w:val="both"/>
        <w:bidi/>
      </w:pPr>
      <w:r>
        <w:t>يتعلق السؤال بمفاهيم المختبر والحالة الحدية والفرضية.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الاختبار والتطبيق وبين النسخ والتدرج، وبين الجمع والترجيح وبين اليقين والتوقف.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المختبر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الاختبار والتطبيق والنسخ والتدرج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الترجيح والتوقف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انتقاء الأمثلة، لأنه يحول النسخ من استثناء مضبوط إلى أداة لإسقاط النصوص التي يصعب الجمع بينها.</w:t>
      </w:r>
    </w:p>
    <w:p>
      <w:pPr>
        <w:spacing w:line="283" w:lineRule="auto" w:after="80"/>
        <w:ind w:firstLine="397"/>
        <w:jc w:val="both"/>
        <w:bidi/>
      </w:pPr>
      <w:r>
        <w:t>كما يظهر خطر التطبيق المتحيز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حذف الحالات الصعبة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إجبار النتيجة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لا يكفي نجاح النظرية في أمثلة سهلة؛ يجب اختبار أشهر دعاوى النسخ والحالات التي تتعادل فيها القرائن والمواضع التي يختلف فيها التاريخ.</w:t>
      </w:r>
    </w:p>
    <w:p>
      <w:pPr>
        <w:spacing w:line="283" w:lineRule="auto" w:after="80"/>
        <w:ind w:firstLine="397"/>
        <w:jc w:val="both"/>
        <w:bidi/>
      </w:pPr>
      <w:r>
        <w:t>القاعدة الثانية: لا يُنقل الحكم من الاختبار والتطبيق إلى النسخ والتدرج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الباب الثامن عشر: النظرية الجامعة وميثاق الباحث في النسخ</w:t>
      </w:r>
    </w:p>
    <w:p>
      <w:pPr>
        <w:spacing w:line="283" w:lineRule="auto" w:after="80"/>
        <w:ind w:firstLine="397"/>
        <w:jc w:val="both"/>
        <w:bidi/>
      </w:pPr>
      <w:r>
        <w:t>السؤال الحاكم: ما الصيغة النهائية للنسخ في التفسير البياني؟ والفرضية الأولية: النسخ استثناء من أصل بقاء الدلالة، يثبت بدليل تاريخي ودلالي محكم بعد استنفاد إمكان الجمع والتخصيص والتقييد والتدرج وتعدد المقام.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هذا الباب: ما الصيغة النهائية للنسخ في التفسير البياني؟ وتقوم فرضيته على أن النسخ استثناء من أصل بقاء الدلالة، يثبت بدليل تاريخي ودلالي محكم بعد استنفاد إمكان الجمع والتخصيص والتقييد والتدرج وتعدد المقام.</w:t>
      </w:r>
    </w:p>
    <w:p>
      <w:pPr>
        <w:spacing w:line="283" w:lineRule="auto" w:after="80"/>
        <w:ind w:firstLine="397"/>
        <w:jc w:val="both"/>
        <w:bidi/>
      </w:pPr>
      <w:r>
        <w:t>يتعلق السؤال بمفاهيم النظرية والاستثناء والبقاء. ويجب ضبط كل مفهوم قبل المقارنة، لأن انتقال المصطلح بين اللغة والأصول والتفسير قد يخلق تعارضاً مصنوعاً.</w:t>
      </w:r>
    </w:p>
    <w:p>
      <w:pPr>
        <w:spacing w:line="283" w:lineRule="auto" w:after="80"/>
        <w:ind w:firstLine="397"/>
        <w:jc w:val="both"/>
        <w:bidi/>
      </w:pPr>
      <w:r>
        <w:t>يفصل الباب بين الأصل والاستثناء وبين الرفع والبقاء، وبين المنهج والمذهب وبين الحكم والتوقف. ولا يعد هذا التفريق لغوياً فقط؛ بل يحدد ما إذا كان الحكم باقياً أو مرفوعاً أو مقيداً.</w:t>
      </w:r>
    </w:p>
    <w:p>
      <w:pPr>
        <w:spacing w:line="283" w:lineRule="auto" w:after="80"/>
        <w:ind w:firstLine="397"/>
        <w:jc w:val="both"/>
        <w:bidi/>
      </w:pPr>
      <w:r>
        <w:t>لا يُقبل إثبات النسخ لأن القراءة الجديدة أسهل أو أكثر انسجاماً مع مذهب، بل لأنها تفسر النصوص والتاريخ بأقل إهدار للدلالات وأوضح برهان.</w:t>
      </w:r>
    </w:p>
    <w:p>
      <w:pPr>
        <w:spacing w:line="283" w:lineRule="auto" w:after="80"/>
        <w:ind w:firstLine="397"/>
        <w:jc w:val="both"/>
        <w:bidi/>
      </w:pPr>
      <w:r>
        <w:t>ينتهي السؤال إلى معيار عملي: إذا أمكن الجمع المعتبر أو التخصيص أو التقييد أو التدرج أو تعدد المقام، لم يثبت النسخ بمجرد وجود قراءة ترفعه.</w:t>
      </w:r>
    </w:p>
    <w:p>
      <w:pPr>
        <w:pStyle w:val="Heading2"/>
        <w:spacing w:line="283" w:lineRule="auto" w:after="120"/>
        <w:jc w:val="right"/>
        <w:keepNext/>
        <w:bidi/>
      </w:pPr>
      <w:r>
        <w:t>التحرير المفهومي والاصطلاحي</w:t>
      </w:r>
    </w:p>
    <w:p>
      <w:pPr>
        <w:spacing w:line="283" w:lineRule="auto" w:after="80"/>
        <w:ind w:firstLine="397"/>
        <w:jc w:val="both"/>
        <w:bidi/>
      </w:pPr>
      <w:r>
        <w:t>يبدأ التحرير بتحديد معنى النظرية داخل اللسان القرآني ثم مقارنة الاصطلاحات اللاحقة به. ولا يجوز تعريف النسخ بلفظ الرفع ثم إثبات الرفع بمجرد إطلاق اسم النسخ.</w:t>
      </w:r>
    </w:p>
    <w:p>
      <w:pPr>
        <w:spacing w:line="283" w:lineRule="auto" w:after="80"/>
        <w:ind w:firstLine="397"/>
        <w:jc w:val="both"/>
        <w:bidi/>
      </w:pPr>
      <w:r>
        <w:t>تُحلل العلاقة بين الأصل والاستثناء والرفع والبقاء تحليلاً وظيفياً: ما الذي يبقى من الحكم الأول؟ وما الذي يتغير؟ وهل التغير في الموضوع أو الشرط أو المخاطب أو الزمان أم في أصل الحكم؟</w:t>
      </w:r>
    </w:p>
    <w:p>
      <w:pPr>
        <w:spacing w:line="283" w:lineRule="auto" w:after="80"/>
        <w:ind w:firstLine="397"/>
        <w:jc w:val="both"/>
        <w:bidi/>
      </w:pPr>
      <w:r>
        <w:t>المعيار الفارق هو مجال الحكم؛ فالنسخ يرفع الحكم السابق في مجاله، أما التخصيص فيبقيه خارج المخصص، والتقييد فيبقيه مع القيد، والتدرج قد يحفظ الغاية ويغير المرحلة.</w:t>
      </w:r>
    </w:p>
    <w:p>
      <w:pPr>
        <w:spacing w:line="283" w:lineRule="auto" w:after="80"/>
        <w:ind w:firstLine="397"/>
        <w:jc w:val="both"/>
        <w:bidi/>
      </w:pPr>
      <w:r>
        <w:t>يجب أن يذكر الباحث التعريف المعتمد للنسخ عند كل دراسة، لأن بعض المتقدمين استعملوا اللفظ استعمالاً أوسع يشمل التخصيص والبيان، بينما ضيق المتأخرون الحد.</w:t>
      </w:r>
    </w:p>
    <w:p>
      <w:pPr>
        <w:spacing w:line="283" w:lineRule="auto" w:after="80"/>
        <w:ind w:firstLine="397"/>
        <w:jc w:val="both"/>
        <w:bidi/>
      </w:pPr>
      <w:r>
        <w:t>ينبغي أن تحفظ قاعدة البيانات الألفاظ التاريخية بوصفها بيانات، ثم تترجمها إلى تصنيف بياني حديث من غير نسبة التعريف المتأخر إلى المؤلف المبكر.</w:t>
      </w:r>
    </w:p>
    <w:p>
      <w:pPr>
        <w:pStyle w:val="Heading2"/>
        <w:spacing w:line="283" w:lineRule="auto" w:after="120"/>
        <w:jc w:val="right"/>
        <w:keepNext/>
        <w:bidi/>
      </w:pPr>
      <w:r>
        <w:t>المدونة القرآنية والأدلة</w:t>
      </w:r>
    </w:p>
    <w:p>
      <w:pPr>
        <w:spacing w:line="283" w:lineRule="auto" w:after="80"/>
        <w:ind w:firstLine="397"/>
        <w:jc w:val="both"/>
        <w:bidi/>
      </w:pPr>
      <w:r>
        <w:t>تبدأ المدونة بآيات النسخ والتبديل، ثم تجمع جميع الآيات التي يظهر بينها اختلاف حكمي في المجال المدروس. ولا تُختار الآيات التي تؤيد النسخ وحدها، بل تدرج آيات البقاء والعموم والاستثناء والتدرج.</w:t>
      </w:r>
    </w:p>
    <w:p>
      <w:pPr>
        <w:spacing w:line="283" w:lineRule="auto" w:after="80"/>
        <w:ind w:firstLine="397"/>
        <w:jc w:val="both"/>
        <w:bidi/>
      </w:pPr>
      <w:r>
        <w:t>يجب أن تتضمن المدونة النص والقراءات والسورة والمقطع والسياق والمخاطب والحكم المحتمل ونوع العلاقة وتاريخ النزول المفترض ومصدره ودرجة الثقة.</w:t>
      </w:r>
    </w:p>
    <w:p>
      <w:pPr>
        <w:spacing w:line="283" w:lineRule="auto" w:after="80"/>
        <w:ind w:firstLine="397"/>
        <w:jc w:val="both"/>
        <w:bidi/>
      </w:pPr>
      <w:r>
        <w:t>تُعامل الروايات التاريخية وروايات أسباب النزول وبيانات المكي والمدني بوصفها طبقة أدلة مستقلة، ولا تدمج في النص القرآني. ويُعاد فحصها وفق منهج الحديث والرجال البياني.</w:t>
      </w:r>
    </w:p>
    <w:p>
      <w:pPr>
        <w:spacing w:line="283" w:lineRule="auto" w:after="80"/>
        <w:ind w:firstLine="397"/>
        <w:jc w:val="both"/>
        <w:bidi/>
      </w:pPr>
      <w:r>
        <w:t>يجب أن يظهر في المدونة ما ينفي النسخ كما يظهر ما يؤيده. فقد تكشف آية أخرى أن الحكم الأول ما يزال معمولاً به في حالة محددة، فيتحول الادعاء من النسخ إلى التخصيص أو تعدد المقام.</w:t>
      </w:r>
    </w:p>
    <w:p>
      <w:pPr>
        <w:spacing w:line="283" w:lineRule="auto" w:after="80"/>
        <w:ind w:firstLine="397"/>
        <w:jc w:val="both"/>
        <w:bidi/>
      </w:pPr>
      <w:r>
        <w:t>تُجمد المدونة مؤقتاً قبل الحكم، ثم تُختبر باستدعاء عكسي للآيات والمصطلحات المنافسة، حتى لا يبنى النسخ على مادة انتقائية.</w:t>
      </w:r>
    </w:p>
    <w:p>
      <w:pPr>
        <w:pStyle w:val="Heading2"/>
        <w:spacing w:line="283" w:lineRule="auto" w:after="120"/>
        <w:jc w:val="right"/>
        <w:keepNext/>
        <w:bidi/>
      </w:pPr>
      <w:r>
        <w:t>الموازنة بين الفرضيات</w:t>
      </w:r>
    </w:p>
    <w:p>
      <w:pPr>
        <w:spacing w:line="283" w:lineRule="auto" w:after="80"/>
        <w:ind w:firstLine="397"/>
        <w:jc w:val="both"/>
        <w:bidi/>
      </w:pPr>
      <w:r>
        <w:t>تُبنى فرضيات متنافسة على الأقل: النسخ، والجمع، والتخصيص، والتقييد، والتدرج، وتغير المناط. ولا تُستبعد فرضية إلا ببيان موضع فشلها في تفسير النص والتاريخ.</w:t>
      </w:r>
    </w:p>
    <w:p>
      <w:pPr>
        <w:spacing w:line="283" w:lineRule="auto" w:after="80"/>
        <w:ind w:firstLine="397"/>
        <w:jc w:val="both"/>
        <w:bidi/>
      </w:pPr>
      <w:r>
        <w:t>يُقدّم التفسير الذي يحفظ أكبر قدر من الدلالات الثابتة بأقل افتراضات خارجية، بشرط ألا يكون الجمع متكلفاً أو مخالفاً للسان والسياق.</w:t>
      </w:r>
    </w:p>
    <w:p>
      <w:pPr>
        <w:spacing w:line="283" w:lineRule="auto" w:after="80"/>
        <w:ind w:firstLine="397"/>
        <w:jc w:val="both"/>
        <w:bidi/>
      </w:pPr>
      <w:r>
        <w:t>إذا احتاجت دعوى النسخ إلى تاريخ غير ثابت بينما ينجح التخصيص بلا هذا الافتراض، كان التخصيص أرجح. وإذا كان النص اللاحق يصرح برفع الحكم السابق، قويت دعوى النسخ بحسب ثبوت التاريخ والدلالة.</w:t>
      </w:r>
    </w:p>
    <w:p>
      <w:pPr>
        <w:spacing w:line="283" w:lineRule="auto" w:after="80"/>
        <w:ind w:firstLine="397"/>
        <w:jc w:val="both"/>
        <w:bidi/>
      </w:pPr>
      <w:r>
        <w:t>لا يكون الترجيح عدداً حسابياً بسيطاً؛ فقد تكون قرينة صريحة في الرفع أقوى من كثرة احتمالات الجمع، وقد تكون آية محكمة في البقاء أقوى من رواية تاريخية ضعيفة.</w:t>
      </w:r>
    </w:p>
    <w:p>
      <w:pPr>
        <w:spacing w:line="283" w:lineRule="auto" w:after="80"/>
        <w:ind w:firstLine="397"/>
        <w:jc w:val="both"/>
        <w:bidi/>
      </w:pPr>
      <w:r>
        <w:t>عند تعادل الفرضيات أو نقص التاريخ يكون التوقف أدق من الجزم، ويُحفظ كل بديل في سجل القرار حتى يمكن إعادة فتح المسألة عند ظهور مادة جديدة.</w:t>
      </w:r>
    </w:p>
    <w:p>
      <w:pPr>
        <w:pStyle w:val="Heading2"/>
        <w:spacing w:line="283" w:lineRule="auto" w:after="120"/>
        <w:jc w:val="right"/>
        <w:keepNext/>
        <w:bidi/>
      </w:pPr>
      <w:r>
        <w:t>التاريخ والسياق والمخاطب</w:t>
      </w:r>
    </w:p>
    <w:p>
      <w:pPr>
        <w:spacing w:line="283" w:lineRule="auto" w:after="80"/>
        <w:ind w:firstLine="397"/>
        <w:jc w:val="both"/>
        <w:bidi/>
      </w:pPr>
      <w:r>
        <w:t>النسخ علاقة زمنية، ولذلك لا بد من فحص المراجعة والميثاق وتحديد ما إذا كان الاختلاف بين مرحلتين أم بين مقامين متزامنين. ولا يكفي ترتيب السور في المصحف لإثبات المتقدم والمتأخر.</w:t>
      </w:r>
    </w:p>
    <w:p>
      <w:pPr>
        <w:spacing w:line="283" w:lineRule="auto" w:after="80"/>
        <w:ind w:firstLine="397"/>
        <w:jc w:val="both"/>
        <w:bidi/>
      </w:pPr>
      <w:r>
        <w:t>يُحرر المخاطب: هل الخطاب للفرد أم الجماعة أم الرسول أم أهل الكتاب أم المؤمنين في حال حرب أو سلم؟ وقد يزيل هذا التحرير تعارضاً بدا أولاً ناسخاً ومنسوخاً.</w:t>
      </w:r>
    </w:p>
    <w:p>
      <w:pPr>
        <w:spacing w:line="283" w:lineRule="auto" w:after="80"/>
        <w:ind w:firstLine="397"/>
        <w:jc w:val="both"/>
        <w:bidi/>
      </w:pPr>
      <w:r>
        <w:t>يُفحص المناط؛ فقد يبقى الحكم مع بقاء علته أو شرطه، ويزول تطبيقه بزوال المناط من غير أن يكون النص منسوخاً. وهذا مهم في أحكام السلطة والقتال والعقوبات والعلاقات الدولية.</w:t>
      </w:r>
    </w:p>
    <w:p>
      <w:pPr>
        <w:spacing w:line="283" w:lineRule="auto" w:after="80"/>
        <w:ind w:firstLine="397"/>
        <w:jc w:val="both"/>
        <w:bidi/>
      </w:pPr>
      <w:r>
        <w:t>تُفرّق المرحلة بين زمن النزول وزمن التطبيق وزمن التدوين وزمن تفسير السلف. وقد يكون الحكم نزل مبكراً لكن تطبيقه ظهر لاحقاً، فلا يصح ترتيب الأحكام من تاريخ الرواية وحده.</w:t>
      </w:r>
    </w:p>
    <w:p>
      <w:pPr>
        <w:spacing w:line="283" w:lineRule="auto" w:after="80"/>
        <w:ind w:firstLine="397"/>
        <w:jc w:val="both"/>
        <w:bidi/>
      </w:pPr>
      <w:r>
        <w:t>إذا تعذر تعيين التاريخ تعييناً معتبراً، تُخفض دعوى النسخ ما لم يوجد نص صريح في الرفع أو الإبدال لا يتوقف على التاريخ التفصيلي.</w:t>
      </w:r>
    </w:p>
    <w:p>
      <w:pPr>
        <w:pStyle w:val="Heading2"/>
        <w:spacing w:line="283" w:lineRule="auto" w:after="120"/>
        <w:jc w:val="right"/>
        <w:keepNext/>
        <w:bidi/>
      </w:pPr>
      <w:r>
        <w:t>الحدود والمغالطات</w:t>
      </w:r>
    </w:p>
    <w:p>
      <w:pPr>
        <w:spacing w:line="283" w:lineRule="auto" w:after="80"/>
        <w:ind w:firstLine="397"/>
        <w:jc w:val="both"/>
        <w:bidi/>
      </w:pPr>
      <w:r>
        <w:t>من أخطر الانحرافات في هذا الباب تقديس النظرية، لأنه يحول النسخ من استثناء مضبوط إلى أداة لإسقاط النصوص التي يصعب الجمع بينها.</w:t>
      </w:r>
    </w:p>
    <w:p>
      <w:pPr>
        <w:spacing w:line="283" w:lineRule="auto" w:after="80"/>
        <w:ind w:firstLine="397"/>
        <w:jc w:val="both"/>
        <w:bidi/>
      </w:pPr>
      <w:r>
        <w:t>كما يظهر خطر إغلاق باب المراجعة حين تُحذف دلالة آية باقية في سياقها لمجرد وجود حكم آخر في مقام مختلف. ويعالج المنهج ذلك بفحص المجال والمخاطب والاستثناءات.</w:t>
      </w:r>
    </w:p>
    <w:p>
      <w:pPr>
        <w:spacing w:line="283" w:lineRule="auto" w:after="80"/>
        <w:ind w:firstLine="397"/>
        <w:jc w:val="both"/>
        <w:bidi/>
      </w:pPr>
      <w:r>
        <w:t>ويظهر القطع بلا دليل حين تُقبل قوائم المنسوخات لمجرد شهرتها أو قدمها. ويجب إعادة كل دعوى إلى دليلها، مع احترام التراث من غير تقديس لنتيجته.</w:t>
      </w:r>
    </w:p>
    <w:p>
      <w:pPr>
        <w:spacing w:line="283" w:lineRule="auto" w:after="80"/>
        <w:ind w:firstLine="397"/>
        <w:jc w:val="both"/>
        <w:bidi/>
      </w:pPr>
      <w:r>
        <w:t>أما استعمال النسخ للغلبة فيقع حين يعاد بناء تاريخ النزول بطريقة تخدم نتيجة مسبقة. ولهذا يُحفظ مصدر كل تاريخ ودرجة الثقة ووجود الأقوال المنافسة.</w:t>
      </w:r>
    </w:p>
    <w:p>
      <w:pPr>
        <w:spacing w:line="283" w:lineRule="auto" w:after="80"/>
        <w:ind w:firstLine="397"/>
        <w:jc w:val="both"/>
        <w:bidi/>
      </w:pPr>
      <w:r>
        <w:t>يجب أن تشتمل كل دراسة على قسم «ما الذي لا تثبته هذه النتيجة؟» حتى لا يتحول نسخ حكم محدد إلى ادعاء إلغاء موضوع أو قيمة أو مقصد كامل.</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النسخ استثناء من أصل بقاء الدلالة، يثبت بدليل تاريخي ودلالي محكم بعد استنفاد إمكان الجمع والتخصيص والتقييد والتدرج وتعدد المقام.</w:t>
      </w:r>
    </w:p>
    <w:p>
      <w:pPr>
        <w:spacing w:line="283" w:lineRule="auto" w:after="80"/>
        <w:ind w:firstLine="397"/>
        <w:jc w:val="both"/>
        <w:bidi/>
      </w:pPr>
      <w:r>
        <w:t>القاعدة الثانية: لا يُنقل الحكم من الأصل والاستثناء إلى الرفع والبقاء بلا بيان نوع العلاقة ومجالها.</w:t>
      </w:r>
    </w:p>
    <w:p>
      <w:pPr>
        <w:spacing w:line="283" w:lineRule="auto" w:after="80"/>
        <w:ind w:firstLine="397"/>
        <w:jc w:val="both"/>
        <w:bidi/>
      </w:pPr>
      <w:r>
        <w:t>القاعدة الثالثة: يجب أن تُختبر دعوى النسخ ببدائل الجمع والتخصيص والتقييد والتدرج وتغير المناط قبل اعتمادها.</w:t>
      </w:r>
    </w:p>
    <w:p>
      <w:pPr>
        <w:spacing w:line="283" w:lineRule="auto" w:after="80"/>
        <w:ind w:firstLine="397"/>
        <w:jc w:val="both"/>
        <w:bidi/>
      </w:pPr>
      <w:r>
        <w:t>القاعدة الرابعة: لا يثبت النسخ من غير تاريخ معتبر أو نص دال على الرفع بما يغني عن التاريخ التفصيلي.</w:t>
      </w:r>
    </w:p>
    <w:p>
      <w:pPr>
        <w:spacing w:line="283" w:lineRule="auto" w:after="80"/>
        <w:ind w:firstLine="397"/>
        <w:jc w:val="both"/>
        <w:bidi/>
      </w:pPr>
      <w:r>
        <w:t>القاعدة الخامسة: كل نتيجة في النسخ تحمل درجة ثقة وإصداراً وحالات فشل، ويجوز تقييدها أو سحبها عند ظهور دليل أقوى.</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السؤال</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النص</w:t>
            </w:r>
          </w:p>
        </w:tc>
        <w:tc>
          <w:tcPr>
            <w:tcW w:type="dxa" w:w="2635"/>
            <w:vAlign w:val="center"/>
          </w:tcPr>
          <w:p>
            <w:pPr>
              <w:spacing w:line="283" w:lineRule="auto" w:after="0"/>
              <w:jc w:val="right"/>
              <w:bidi/>
            </w:pPr>
            <w:r>
              <w:rPr>
                <w:sz w:val="20"/>
              </w:rPr>
              <w:t>ما الحكم والدلالة؟</w:t>
            </w:r>
          </w:p>
        </w:tc>
        <w:tc>
          <w:tcPr>
            <w:tcW w:type="dxa" w:w="2635"/>
            <w:vAlign w:val="center"/>
          </w:tcPr>
          <w:p>
            <w:pPr>
              <w:spacing w:line="283" w:lineRule="auto" w:after="0"/>
              <w:jc w:val="right"/>
              <w:bidi/>
            </w:pPr>
            <w:r>
              <w:rPr>
                <w:sz w:val="20"/>
              </w:rPr>
              <w:t>دعوى محددة</w:t>
            </w:r>
          </w:p>
        </w:tc>
      </w:tr>
      <w:tr>
        <w:tc>
          <w:tcPr>
            <w:tcW w:type="dxa" w:w="2635"/>
            <w:vAlign w:val="center"/>
          </w:tcPr>
          <w:p>
            <w:pPr>
              <w:spacing w:line="283" w:lineRule="auto" w:after="0"/>
              <w:jc w:val="right"/>
              <w:bidi/>
            </w:pPr>
            <w:r>
              <w:rPr>
                <w:sz w:val="20"/>
              </w:rPr>
              <w:t>العلاقة</w:t>
            </w:r>
          </w:p>
        </w:tc>
        <w:tc>
          <w:tcPr>
            <w:tcW w:type="dxa" w:w="2635"/>
            <w:vAlign w:val="center"/>
          </w:tcPr>
          <w:p>
            <w:pPr>
              <w:spacing w:line="283" w:lineRule="auto" w:after="0"/>
              <w:jc w:val="right"/>
              <w:bidi/>
            </w:pPr>
            <w:r>
              <w:rPr>
                <w:sz w:val="20"/>
              </w:rPr>
              <w:t>نسخ أم تخصيص أم تقييد أم تدرج؟</w:t>
            </w:r>
          </w:p>
        </w:tc>
        <w:tc>
          <w:tcPr>
            <w:tcW w:type="dxa" w:w="2635"/>
            <w:vAlign w:val="center"/>
          </w:tcPr>
          <w:p>
            <w:pPr>
              <w:spacing w:line="283" w:lineRule="auto" w:after="0"/>
              <w:jc w:val="right"/>
              <w:bidi/>
            </w:pPr>
            <w:r>
              <w:rPr>
                <w:sz w:val="20"/>
              </w:rPr>
              <w:t>نوع العلاقة</w:t>
            </w:r>
          </w:p>
        </w:tc>
      </w:tr>
      <w:tr>
        <w:tc>
          <w:tcPr>
            <w:tcW w:type="dxa" w:w="2635"/>
            <w:vAlign w:val="center"/>
          </w:tcPr>
          <w:p>
            <w:pPr>
              <w:spacing w:line="283" w:lineRule="auto" w:after="0"/>
              <w:jc w:val="right"/>
              <w:bidi/>
            </w:pPr>
            <w:r>
              <w:rPr>
                <w:sz w:val="20"/>
              </w:rPr>
              <w:t>التاريخ</w:t>
            </w:r>
          </w:p>
        </w:tc>
        <w:tc>
          <w:tcPr>
            <w:tcW w:type="dxa" w:w="2635"/>
            <w:vAlign w:val="center"/>
          </w:tcPr>
          <w:p>
            <w:pPr>
              <w:spacing w:line="283" w:lineRule="auto" w:after="0"/>
              <w:jc w:val="right"/>
              <w:bidi/>
            </w:pPr>
            <w:r>
              <w:rPr>
                <w:sz w:val="20"/>
              </w:rPr>
              <w:t>ما المتقدم والمتأخر؟</w:t>
            </w:r>
          </w:p>
        </w:tc>
        <w:tc>
          <w:tcPr>
            <w:tcW w:type="dxa" w:w="2635"/>
            <w:vAlign w:val="center"/>
          </w:tcPr>
          <w:p>
            <w:pPr>
              <w:spacing w:line="283" w:lineRule="auto" w:after="0"/>
              <w:jc w:val="right"/>
              <w:bidi/>
            </w:pPr>
            <w:r>
              <w:rPr>
                <w:sz w:val="20"/>
              </w:rPr>
              <w:t>درجة زمنية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من المخاطب وما المقام؟</w:t>
            </w:r>
          </w:p>
        </w:tc>
        <w:tc>
          <w:tcPr>
            <w:tcW w:type="dxa" w:w="2635"/>
            <w:vAlign w:val="center"/>
          </w:tcPr>
          <w:p>
            <w:pPr>
              <w:spacing w:line="283" w:lineRule="auto" w:after="0"/>
              <w:jc w:val="right"/>
              <w:bidi/>
            </w:pPr>
            <w:r>
              <w:rPr>
                <w:sz w:val="20"/>
              </w:rPr>
              <w:t>مجال الحكم</w:t>
            </w:r>
          </w:p>
        </w:tc>
      </w:tr>
      <w:tr>
        <w:tc>
          <w:tcPr>
            <w:tcW w:type="dxa" w:w="2635"/>
            <w:vAlign w:val="center"/>
          </w:tcPr>
          <w:p>
            <w:pPr>
              <w:spacing w:line="283" w:lineRule="auto" w:after="0"/>
              <w:jc w:val="right"/>
              <w:bidi/>
            </w:pPr>
            <w:r>
              <w:rPr>
                <w:sz w:val="20"/>
              </w:rPr>
              <w:t>البدائل</w:t>
            </w:r>
          </w:p>
        </w:tc>
        <w:tc>
          <w:tcPr>
            <w:tcW w:type="dxa" w:w="2635"/>
            <w:vAlign w:val="center"/>
          </w:tcPr>
          <w:p>
            <w:pPr>
              <w:spacing w:line="283" w:lineRule="auto" w:after="0"/>
              <w:jc w:val="right"/>
              <w:bidi/>
            </w:pPr>
            <w:r>
              <w:rPr>
                <w:sz w:val="20"/>
              </w:rPr>
              <w:t>هل يمكن الجمع؟</w:t>
            </w:r>
          </w:p>
        </w:tc>
        <w:tc>
          <w:tcPr>
            <w:tcW w:type="dxa" w:w="2635"/>
            <w:vAlign w:val="center"/>
          </w:tcPr>
          <w:p>
            <w:pPr>
              <w:spacing w:line="283" w:lineRule="auto" w:after="0"/>
              <w:jc w:val="right"/>
              <w:bidi/>
            </w:pPr>
            <w:r>
              <w:rPr>
                <w:sz w:val="20"/>
              </w:rPr>
              <w:t>فرضيات منافسة</w:t>
            </w:r>
          </w:p>
        </w:tc>
      </w:tr>
      <w:tr>
        <w:tc>
          <w:tcPr>
            <w:tcW w:type="dxa" w:w="2635"/>
            <w:vAlign w:val="center"/>
          </w:tcPr>
          <w:p>
            <w:pPr>
              <w:spacing w:line="283" w:lineRule="auto" w:after="0"/>
              <w:jc w:val="right"/>
              <w:bidi/>
            </w:pPr>
            <w:r>
              <w:rPr>
                <w:sz w:val="20"/>
              </w:rPr>
              <w:t>النتيجة</w:t>
            </w:r>
          </w:p>
        </w:tc>
        <w:tc>
          <w:tcPr>
            <w:tcW w:type="dxa" w:w="2635"/>
            <w:vAlign w:val="center"/>
          </w:tcPr>
          <w:p>
            <w:pPr>
              <w:spacing w:line="283" w:lineRule="auto" w:after="0"/>
              <w:jc w:val="right"/>
              <w:bidi/>
            </w:pPr>
            <w:r>
              <w:rPr>
                <w:sz w:val="20"/>
              </w:rPr>
              <w:t>ما الذي رُفع أو بقي؟</w:t>
            </w:r>
          </w:p>
        </w:tc>
        <w:tc>
          <w:tcPr>
            <w:tcW w:type="dxa" w:w="2635"/>
            <w:vAlign w:val="center"/>
          </w:tcPr>
          <w:p>
            <w:pPr>
              <w:spacing w:line="283" w:lineRule="auto" w:after="0"/>
              <w:jc w:val="right"/>
              <w:bidi/>
            </w:pPr>
            <w:r>
              <w:rPr>
                <w:sz w:val="20"/>
              </w:rPr>
              <w:t>حكم معلل</w:t>
            </w:r>
          </w:p>
        </w:tc>
      </w:tr>
    </w:tbl>
    <w:p>
      <w:pPr>
        <w:spacing w:after="20"/>
      </w:pPr>
    </w:p>
    <w:p>
      <w:r>
        <w:br w:type="page"/>
      </w:r>
    </w:p>
    <w:p>
      <w:pPr>
        <w:pStyle w:val="Heading1"/>
        <w:spacing w:line="283" w:lineRule="auto" w:after="120"/>
        <w:jc w:val="right"/>
        <w:keepNext/>
        <w:bidi/>
      </w:pPr>
      <w:r>
        <w:t>المعجم التشغيلي لنظرية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المصطلح</w:t>
            </w:r>
          </w:p>
        </w:tc>
        <w:tc>
          <w:tcPr>
            <w:tcW w:type="dxa" w:w="3952"/>
            <w:vAlign w:val="center"/>
          </w:tcPr>
          <w:p>
            <w:pPr>
              <w:spacing w:line="283" w:lineRule="auto" w:after="0"/>
              <w:jc w:val="center"/>
              <w:bidi/>
            </w:pPr>
            <w:r>
              <w:rPr>
                <w:b/>
                <w:sz w:val="19"/>
              </w:rPr>
              <w:t>التعريف البياني</w:t>
            </w:r>
          </w:p>
        </w:tc>
      </w:tr>
      <w:tr>
        <w:tc>
          <w:tcPr>
            <w:tcW w:type="dxa" w:w="3952"/>
            <w:vAlign w:val="center"/>
          </w:tcPr>
          <w:p>
            <w:pPr>
              <w:spacing w:line="283" w:lineRule="auto" w:after="0"/>
              <w:jc w:val="right"/>
              <w:bidi/>
            </w:pPr>
            <w:r>
              <w:rPr>
                <w:sz w:val="19"/>
              </w:rPr>
              <w:t>النسخ</w:t>
            </w:r>
          </w:p>
        </w:tc>
        <w:tc>
          <w:tcPr>
            <w:tcW w:type="dxa" w:w="3952"/>
            <w:vAlign w:val="center"/>
          </w:tcPr>
          <w:p>
            <w:pPr>
              <w:spacing w:line="283" w:lineRule="auto" w:after="0"/>
              <w:jc w:val="right"/>
              <w:bidi/>
            </w:pPr>
            <w:r>
              <w:rPr>
                <w:sz w:val="19"/>
              </w:rPr>
              <w:t>رفع حكم سابق في مجاله بخطاب لاحق ثبت تأخره ودلالته على الرفع.</w:t>
            </w:r>
          </w:p>
        </w:tc>
      </w:tr>
      <w:tr>
        <w:tc>
          <w:tcPr>
            <w:tcW w:type="dxa" w:w="3952"/>
            <w:vAlign w:val="center"/>
          </w:tcPr>
          <w:p>
            <w:pPr>
              <w:spacing w:line="283" w:lineRule="auto" w:after="0"/>
              <w:jc w:val="right"/>
              <w:bidi/>
            </w:pPr>
            <w:r>
              <w:rPr>
                <w:sz w:val="19"/>
              </w:rPr>
              <w:t>الناسخ</w:t>
            </w:r>
          </w:p>
        </w:tc>
        <w:tc>
          <w:tcPr>
            <w:tcW w:type="dxa" w:w="3952"/>
            <w:vAlign w:val="center"/>
          </w:tcPr>
          <w:p>
            <w:pPr>
              <w:spacing w:line="283" w:lineRule="auto" w:after="0"/>
              <w:jc w:val="right"/>
              <w:bidi/>
            </w:pPr>
            <w:r>
              <w:rPr>
                <w:sz w:val="19"/>
              </w:rPr>
              <w:t>الدليل اللاحق الذي يثبت به رفع الحكم السابق.</w:t>
            </w:r>
          </w:p>
        </w:tc>
      </w:tr>
      <w:tr>
        <w:tc>
          <w:tcPr>
            <w:tcW w:type="dxa" w:w="3952"/>
            <w:vAlign w:val="center"/>
          </w:tcPr>
          <w:p>
            <w:pPr>
              <w:spacing w:line="283" w:lineRule="auto" w:after="0"/>
              <w:jc w:val="right"/>
              <w:bidi/>
            </w:pPr>
            <w:r>
              <w:rPr>
                <w:sz w:val="19"/>
              </w:rPr>
              <w:t>المنسوخ</w:t>
            </w:r>
          </w:p>
        </w:tc>
        <w:tc>
          <w:tcPr>
            <w:tcW w:type="dxa" w:w="3952"/>
            <w:vAlign w:val="center"/>
          </w:tcPr>
          <w:p>
            <w:pPr>
              <w:spacing w:line="283" w:lineRule="auto" w:after="0"/>
              <w:jc w:val="right"/>
              <w:bidi/>
            </w:pPr>
            <w:r>
              <w:rPr>
                <w:sz w:val="19"/>
              </w:rPr>
              <w:t>الحكم السابق المرفوع في المجال المحدد، لا النص الذي يفقد كل قيمة بيانية بالضرورة.</w:t>
            </w:r>
          </w:p>
        </w:tc>
      </w:tr>
      <w:tr>
        <w:tc>
          <w:tcPr>
            <w:tcW w:type="dxa" w:w="3952"/>
            <w:vAlign w:val="center"/>
          </w:tcPr>
          <w:p>
            <w:pPr>
              <w:spacing w:line="283" w:lineRule="auto" w:after="0"/>
              <w:jc w:val="right"/>
              <w:bidi/>
            </w:pPr>
            <w:r>
              <w:rPr>
                <w:sz w:val="19"/>
              </w:rPr>
              <w:t>التخصيص</w:t>
            </w:r>
          </w:p>
        </w:tc>
        <w:tc>
          <w:tcPr>
            <w:tcW w:type="dxa" w:w="3952"/>
            <w:vAlign w:val="center"/>
          </w:tcPr>
          <w:p>
            <w:pPr>
              <w:spacing w:line="283" w:lineRule="auto" w:after="0"/>
              <w:jc w:val="right"/>
              <w:bidi/>
            </w:pPr>
            <w:r>
              <w:rPr>
                <w:sz w:val="19"/>
              </w:rPr>
              <w:t>إخراج بعض أفراد العام مع بقاء حكمه في الباقي.</w:t>
            </w:r>
          </w:p>
        </w:tc>
      </w:tr>
      <w:tr>
        <w:tc>
          <w:tcPr>
            <w:tcW w:type="dxa" w:w="3952"/>
            <w:vAlign w:val="center"/>
          </w:tcPr>
          <w:p>
            <w:pPr>
              <w:spacing w:line="283" w:lineRule="auto" w:after="0"/>
              <w:jc w:val="right"/>
              <w:bidi/>
            </w:pPr>
            <w:r>
              <w:rPr>
                <w:sz w:val="19"/>
              </w:rPr>
              <w:t>التقييد</w:t>
            </w:r>
          </w:p>
        </w:tc>
        <w:tc>
          <w:tcPr>
            <w:tcW w:type="dxa" w:w="3952"/>
            <w:vAlign w:val="center"/>
          </w:tcPr>
          <w:p>
            <w:pPr>
              <w:spacing w:line="283" w:lineRule="auto" w:after="0"/>
              <w:jc w:val="right"/>
              <w:bidi/>
            </w:pPr>
            <w:r>
              <w:rPr>
                <w:sz w:val="19"/>
              </w:rPr>
              <w:t>تحديد المطلق بقيد مع بقاء حكمه داخل القيد.</w:t>
            </w:r>
          </w:p>
        </w:tc>
      </w:tr>
      <w:tr>
        <w:tc>
          <w:tcPr>
            <w:tcW w:type="dxa" w:w="3952"/>
            <w:vAlign w:val="center"/>
          </w:tcPr>
          <w:p>
            <w:pPr>
              <w:spacing w:line="283" w:lineRule="auto" w:after="0"/>
              <w:jc w:val="right"/>
              <w:bidi/>
            </w:pPr>
            <w:r>
              <w:rPr>
                <w:sz w:val="19"/>
              </w:rPr>
              <w:t>التفصيل</w:t>
            </w:r>
          </w:p>
        </w:tc>
        <w:tc>
          <w:tcPr>
            <w:tcW w:type="dxa" w:w="3952"/>
            <w:vAlign w:val="center"/>
          </w:tcPr>
          <w:p>
            <w:pPr>
              <w:spacing w:line="283" w:lineRule="auto" w:after="0"/>
              <w:jc w:val="right"/>
              <w:bidi/>
            </w:pPr>
            <w:r>
              <w:rPr>
                <w:sz w:val="19"/>
              </w:rPr>
              <w:t>بيان المجمل أو توزيع الحكم على حالات من غير رفع الأصل.</w:t>
            </w:r>
          </w:p>
        </w:tc>
      </w:tr>
      <w:tr>
        <w:tc>
          <w:tcPr>
            <w:tcW w:type="dxa" w:w="3952"/>
            <w:vAlign w:val="center"/>
          </w:tcPr>
          <w:p>
            <w:pPr>
              <w:spacing w:line="283" w:lineRule="auto" w:after="0"/>
              <w:jc w:val="right"/>
              <w:bidi/>
            </w:pPr>
            <w:r>
              <w:rPr>
                <w:sz w:val="19"/>
              </w:rPr>
              <w:t>التدرج</w:t>
            </w:r>
          </w:p>
        </w:tc>
        <w:tc>
          <w:tcPr>
            <w:tcW w:type="dxa" w:w="3952"/>
            <w:vAlign w:val="center"/>
          </w:tcPr>
          <w:p>
            <w:pPr>
              <w:spacing w:line="283" w:lineRule="auto" w:after="0"/>
              <w:jc w:val="right"/>
              <w:bidi/>
            </w:pPr>
            <w:r>
              <w:rPr>
                <w:sz w:val="19"/>
              </w:rPr>
              <w:t>انتقال تشريعي أو تربوي بين مراحل قد يشتمل على نسخ أو لا يشتمل.</w:t>
            </w:r>
          </w:p>
        </w:tc>
      </w:tr>
      <w:tr>
        <w:tc>
          <w:tcPr>
            <w:tcW w:type="dxa" w:w="3952"/>
            <w:vAlign w:val="center"/>
          </w:tcPr>
          <w:p>
            <w:pPr>
              <w:spacing w:line="283" w:lineRule="auto" w:after="0"/>
              <w:jc w:val="right"/>
              <w:bidi/>
            </w:pPr>
            <w:r>
              <w:rPr>
                <w:sz w:val="19"/>
              </w:rPr>
              <w:t>التبديل</w:t>
            </w:r>
          </w:p>
        </w:tc>
        <w:tc>
          <w:tcPr>
            <w:tcW w:type="dxa" w:w="3952"/>
            <w:vAlign w:val="center"/>
          </w:tcPr>
          <w:p>
            <w:pPr>
              <w:spacing w:line="283" w:lineRule="auto" w:after="0"/>
              <w:jc w:val="right"/>
              <w:bidi/>
            </w:pPr>
            <w:r>
              <w:rPr>
                <w:sz w:val="19"/>
              </w:rPr>
              <w:t>إحلال صيغة أو حكم أو آية مكان أخرى بحسب السياق، ولا يساوي النسخ الاصطلاحي دائماً.</w:t>
            </w:r>
          </w:p>
        </w:tc>
      </w:tr>
      <w:tr>
        <w:tc>
          <w:tcPr>
            <w:tcW w:type="dxa" w:w="3952"/>
            <w:vAlign w:val="center"/>
          </w:tcPr>
          <w:p>
            <w:pPr>
              <w:spacing w:line="283" w:lineRule="auto" w:after="0"/>
              <w:jc w:val="right"/>
              <w:bidi/>
            </w:pPr>
            <w:r>
              <w:rPr>
                <w:sz w:val="19"/>
              </w:rPr>
              <w:t>تغير المناط</w:t>
            </w:r>
          </w:p>
        </w:tc>
        <w:tc>
          <w:tcPr>
            <w:tcW w:type="dxa" w:w="3952"/>
            <w:vAlign w:val="center"/>
          </w:tcPr>
          <w:p>
            <w:pPr>
              <w:spacing w:line="283" w:lineRule="auto" w:after="0"/>
              <w:jc w:val="right"/>
              <w:bidi/>
            </w:pPr>
            <w:r>
              <w:rPr>
                <w:sz w:val="19"/>
              </w:rPr>
              <w:t>انتقال الواقع من وصف إلى وصف يغير انطباق الحكم من غير رفع النص.</w:t>
            </w:r>
          </w:p>
        </w:tc>
      </w:tr>
      <w:tr>
        <w:tc>
          <w:tcPr>
            <w:tcW w:type="dxa" w:w="3952"/>
            <w:vAlign w:val="center"/>
          </w:tcPr>
          <w:p>
            <w:pPr>
              <w:spacing w:line="283" w:lineRule="auto" w:after="0"/>
              <w:jc w:val="right"/>
              <w:bidi/>
            </w:pPr>
            <w:r>
              <w:rPr>
                <w:sz w:val="19"/>
              </w:rPr>
              <w:t>الحكم المؤقت</w:t>
            </w:r>
          </w:p>
        </w:tc>
        <w:tc>
          <w:tcPr>
            <w:tcW w:type="dxa" w:w="3952"/>
            <w:vAlign w:val="center"/>
          </w:tcPr>
          <w:p>
            <w:pPr>
              <w:spacing w:line="283" w:lineRule="auto" w:after="0"/>
              <w:jc w:val="right"/>
              <w:bidi/>
            </w:pPr>
            <w:r>
              <w:rPr>
                <w:sz w:val="19"/>
              </w:rPr>
              <w:t>حكم دل الدليل على ارتباطه بمدة أو ظرف، وانتهاؤه لا يحتاج دائماً إلى اصطلاح النسخ.</w:t>
            </w:r>
          </w:p>
        </w:tc>
      </w:tr>
      <w:tr>
        <w:tc>
          <w:tcPr>
            <w:tcW w:type="dxa" w:w="3952"/>
            <w:vAlign w:val="center"/>
          </w:tcPr>
          <w:p>
            <w:pPr>
              <w:spacing w:line="283" w:lineRule="auto" w:after="0"/>
              <w:jc w:val="right"/>
              <w:bidi/>
            </w:pPr>
            <w:r>
              <w:rPr>
                <w:sz w:val="19"/>
              </w:rPr>
              <w:t>التعارض الظاهري</w:t>
            </w:r>
          </w:p>
        </w:tc>
        <w:tc>
          <w:tcPr>
            <w:tcW w:type="dxa" w:w="3952"/>
            <w:vAlign w:val="center"/>
          </w:tcPr>
          <w:p>
            <w:pPr>
              <w:spacing w:line="283" w:lineRule="auto" w:after="0"/>
              <w:jc w:val="right"/>
              <w:bidi/>
            </w:pPr>
            <w:r>
              <w:rPr>
                <w:sz w:val="19"/>
              </w:rPr>
              <w:t>توتر أولي بين نصين يزول بعد تحرير المجال أو المخاطب أو القيد أو الترتيب.</w:t>
            </w:r>
          </w:p>
        </w:tc>
      </w:tr>
      <w:tr>
        <w:tc>
          <w:tcPr>
            <w:tcW w:type="dxa" w:w="3952"/>
            <w:vAlign w:val="center"/>
          </w:tcPr>
          <w:p>
            <w:pPr>
              <w:spacing w:line="283" w:lineRule="auto" w:after="0"/>
              <w:jc w:val="right"/>
              <w:bidi/>
            </w:pPr>
            <w:r>
              <w:rPr>
                <w:sz w:val="19"/>
              </w:rPr>
              <w:t>التعارض الحقيقي</w:t>
            </w:r>
          </w:p>
        </w:tc>
        <w:tc>
          <w:tcPr>
            <w:tcW w:type="dxa" w:w="3952"/>
            <w:vAlign w:val="center"/>
          </w:tcPr>
          <w:p>
            <w:pPr>
              <w:spacing w:line="283" w:lineRule="auto" w:after="0"/>
              <w:jc w:val="right"/>
              <w:bidi/>
            </w:pPr>
            <w:r>
              <w:rPr>
                <w:sz w:val="19"/>
              </w:rPr>
              <w:t>عدم إمكان العمل بالحكمين في المحل والزمان نفسيهما بعد استنفاد وجوه الجمع.</w:t>
            </w:r>
          </w:p>
        </w:tc>
      </w:tr>
      <w:tr>
        <w:tc>
          <w:tcPr>
            <w:tcW w:type="dxa" w:w="3952"/>
            <w:vAlign w:val="center"/>
          </w:tcPr>
          <w:p>
            <w:pPr>
              <w:spacing w:line="283" w:lineRule="auto" w:after="0"/>
              <w:jc w:val="right"/>
              <w:bidi/>
            </w:pPr>
            <w:r>
              <w:rPr>
                <w:sz w:val="19"/>
              </w:rPr>
              <w:t>نسخ الحكم</w:t>
            </w:r>
          </w:p>
        </w:tc>
        <w:tc>
          <w:tcPr>
            <w:tcW w:type="dxa" w:w="3952"/>
            <w:vAlign w:val="center"/>
          </w:tcPr>
          <w:p>
            <w:pPr>
              <w:spacing w:line="283" w:lineRule="auto" w:after="0"/>
              <w:jc w:val="right"/>
              <w:bidi/>
            </w:pPr>
            <w:r>
              <w:rPr>
                <w:sz w:val="19"/>
              </w:rPr>
              <w:t>رفع الإلزام أو الإباحة أو المنع السابق مع بقاء التلاوة.</w:t>
            </w:r>
          </w:p>
        </w:tc>
      </w:tr>
      <w:tr>
        <w:tc>
          <w:tcPr>
            <w:tcW w:type="dxa" w:w="3952"/>
            <w:vAlign w:val="center"/>
          </w:tcPr>
          <w:p>
            <w:pPr>
              <w:spacing w:line="283" w:lineRule="auto" w:after="0"/>
              <w:jc w:val="right"/>
              <w:bidi/>
            </w:pPr>
            <w:r>
              <w:rPr>
                <w:sz w:val="19"/>
              </w:rPr>
              <w:t>نسخ التلاوة</w:t>
            </w:r>
          </w:p>
        </w:tc>
        <w:tc>
          <w:tcPr>
            <w:tcW w:type="dxa" w:w="3952"/>
            <w:vAlign w:val="center"/>
          </w:tcPr>
          <w:p>
            <w:pPr>
              <w:spacing w:line="283" w:lineRule="auto" w:after="0"/>
              <w:jc w:val="right"/>
              <w:bidi/>
            </w:pPr>
            <w:r>
              <w:rPr>
                <w:sz w:val="19"/>
              </w:rPr>
              <w:t>دعوى رفع نص من التلاوة مع بحث مستقل في الحكم، وهي دعوى عالية الأثر تحتاج إلى معيار ثبوت شديد.</w:t>
            </w:r>
          </w:p>
        </w:tc>
      </w:tr>
      <w:tr>
        <w:tc>
          <w:tcPr>
            <w:tcW w:type="dxa" w:w="3952"/>
            <w:vAlign w:val="center"/>
          </w:tcPr>
          <w:p>
            <w:pPr>
              <w:spacing w:line="283" w:lineRule="auto" w:after="0"/>
              <w:jc w:val="right"/>
              <w:bidi/>
            </w:pPr>
            <w:r>
              <w:rPr>
                <w:sz w:val="19"/>
              </w:rPr>
              <w:t>التوقف</w:t>
            </w:r>
          </w:p>
        </w:tc>
        <w:tc>
          <w:tcPr>
            <w:tcW w:type="dxa" w:w="3952"/>
            <w:vAlign w:val="center"/>
          </w:tcPr>
          <w:p>
            <w:pPr>
              <w:spacing w:line="283" w:lineRule="auto" w:after="0"/>
              <w:jc w:val="right"/>
              <w:bidi/>
            </w:pPr>
            <w:r>
              <w:rPr>
                <w:sz w:val="19"/>
              </w:rPr>
              <w:t>تعليق الحكم في دعوى النسخ عند نقص التاريخ أو تعادل الفرضيات أو ضعف الدليل.</w:t>
            </w:r>
          </w:p>
        </w:tc>
      </w:tr>
    </w:tbl>
    <w:p>
      <w:pPr>
        <w:spacing w:after="20"/>
      </w:pPr>
    </w:p>
    <w:p>
      <w:pPr>
        <w:pStyle w:val="Heading2"/>
        <w:spacing w:line="283" w:lineRule="auto" w:after="120"/>
        <w:jc w:val="right"/>
        <w:keepNext/>
        <w:bidi/>
      </w:pPr>
      <w:r>
        <w:t>النسخ</w:t>
      </w:r>
    </w:p>
    <w:p>
      <w:pPr>
        <w:spacing w:line="283" w:lineRule="auto" w:after="80"/>
        <w:ind w:firstLine="397"/>
        <w:jc w:val="both"/>
        <w:bidi/>
      </w:pPr>
      <w:r>
        <w:t>التعريف: رفع حكم سابق في مجاله بخطاب لاحق ثبت تأخره ودلالته على الرفع.</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الناسخ</w:t>
      </w:r>
    </w:p>
    <w:p>
      <w:pPr>
        <w:spacing w:line="283" w:lineRule="auto" w:after="80"/>
        <w:ind w:firstLine="397"/>
        <w:jc w:val="both"/>
        <w:bidi/>
      </w:pPr>
      <w:r>
        <w:t>التعريف: الدليل اللاحق الذي يثبت به رفع الحكم السابق.</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المنسوخ</w:t>
      </w:r>
    </w:p>
    <w:p>
      <w:pPr>
        <w:spacing w:line="283" w:lineRule="auto" w:after="80"/>
        <w:ind w:firstLine="397"/>
        <w:jc w:val="both"/>
        <w:bidi/>
      </w:pPr>
      <w:r>
        <w:t>التعريف: الحكم السابق المرفوع في المجال المحدد، لا النص الذي يفقد كل قيمة بيانية بالضرورة.</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التخصيص</w:t>
      </w:r>
    </w:p>
    <w:p>
      <w:pPr>
        <w:spacing w:line="283" w:lineRule="auto" w:after="80"/>
        <w:ind w:firstLine="397"/>
        <w:jc w:val="both"/>
        <w:bidi/>
      </w:pPr>
      <w:r>
        <w:t>التعريف: إخراج بعض أفراد العام مع بقاء حكمه في الباقي.</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التقييد</w:t>
      </w:r>
    </w:p>
    <w:p>
      <w:pPr>
        <w:spacing w:line="283" w:lineRule="auto" w:after="80"/>
        <w:ind w:firstLine="397"/>
        <w:jc w:val="both"/>
        <w:bidi/>
      </w:pPr>
      <w:r>
        <w:t>التعريف: تحديد المطلق بقيد مع بقاء حكمه داخل القيد.</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التفصيل</w:t>
      </w:r>
    </w:p>
    <w:p>
      <w:pPr>
        <w:spacing w:line="283" w:lineRule="auto" w:after="80"/>
        <w:ind w:firstLine="397"/>
        <w:jc w:val="both"/>
        <w:bidi/>
      </w:pPr>
      <w:r>
        <w:t>التعريف: بيان المجمل أو توزيع الحكم على حالات من غير رفع الأصل.</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التدرج</w:t>
      </w:r>
    </w:p>
    <w:p>
      <w:pPr>
        <w:spacing w:line="283" w:lineRule="auto" w:after="80"/>
        <w:ind w:firstLine="397"/>
        <w:jc w:val="both"/>
        <w:bidi/>
      </w:pPr>
      <w:r>
        <w:t>التعريف: انتقال تشريعي أو تربوي بين مراحل قد يشتمل على نسخ أو لا يشتمل.</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التبديل</w:t>
      </w:r>
    </w:p>
    <w:p>
      <w:pPr>
        <w:spacing w:line="283" w:lineRule="auto" w:after="80"/>
        <w:ind w:firstLine="397"/>
        <w:jc w:val="both"/>
        <w:bidi/>
      </w:pPr>
      <w:r>
        <w:t>التعريف: إحلال صيغة أو حكم أو آية مكان أخرى بحسب السياق، ولا يساوي النسخ الاصطلاحي دائماً.</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تغير المناط</w:t>
      </w:r>
    </w:p>
    <w:p>
      <w:pPr>
        <w:spacing w:line="283" w:lineRule="auto" w:after="80"/>
        <w:ind w:firstLine="397"/>
        <w:jc w:val="both"/>
        <w:bidi/>
      </w:pPr>
      <w:r>
        <w:t>التعريف: انتقال الواقع من وصف إلى وصف يغير انطباق الحكم من غير رفع النص.</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الحكم المؤقت</w:t>
      </w:r>
    </w:p>
    <w:p>
      <w:pPr>
        <w:spacing w:line="283" w:lineRule="auto" w:after="80"/>
        <w:ind w:firstLine="397"/>
        <w:jc w:val="both"/>
        <w:bidi/>
      </w:pPr>
      <w:r>
        <w:t>التعريف: حكم دل الدليل على ارتباطه بمدة أو ظرف، وانتهاؤه لا يحتاج دائماً إلى اصطلاح النسخ.</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التعارض الظاهري</w:t>
      </w:r>
    </w:p>
    <w:p>
      <w:pPr>
        <w:spacing w:line="283" w:lineRule="auto" w:after="80"/>
        <w:ind w:firstLine="397"/>
        <w:jc w:val="both"/>
        <w:bidi/>
      </w:pPr>
      <w:r>
        <w:t>التعريف: توتر أولي بين نصين يزول بعد تحرير المجال أو المخاطب أو القيد أو الترتيب.</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التعارض الحقيقي</w:t>
      </w:r>
    </w:p>
    <w:p>
      <w:pPr>
        <w:spacing w:line="283" w:lineRule="auto" w:after="80"/>
        <w:ind w:firstLine="397"/>
        <w:jc w:val="both"/>
        <w:bidi/>
      </w:pPr>
      <w:r>
        <w:t>التعريف: عدم إمكان العمل بالحكمين في المحل والزمان نفسيهما بعد استنفاد وجوه الجمع.</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نسخ الحكم</w:t>
      </w:r>
    </w:p>
    <w:p>
      <w:pPr>
        <w:spacing w:line="283" w:lineRule="auto" w:after="80"/>
        <w:ind w:firstLine="397"/>
        <w:jc w:val="both"/>
        <w:bidi/>
      </w:pPr>
      <w:r>
        <w:t>التعريف: رفع الإلزام أو الإباحة أو المنع السابق مع بقاء التلاوة.</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نسخ التلاوة</w:t>
      </w:r>
    </w:p>
    <w:p>
      <w:pPr>
        <w:spacing w:line="283" w:lineRule="auto" w:after="80"/>
        <w:ind w:firstLine="397"/>
        <w:jc w:val="both"/>
        <w:bidi/>
      </w:pPr>
      <w:r>
        <w:t>التعريف: دعوى رفع نص من التلاوة مع بحث مستقل في الحكم، وهي دعوى عالية الأثر تحتاج إلى معيار ثبوت شديد.</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pPr>
        <w:pStyle w:val="Heading2"/>
        <w:spacing w:line="283" w:lineRule="auto" w:after="120"/>
        <w:jc w:val="right"/>
        <w:keepNext/>
        <w:bidi/>
      </w:pPr>
      <w:r>
        <w:t>التوقف</w:t>
      </w:r>
    </w:p>
    <w:p>
      <w:pPr>
        <w:spacing w:line="283" w:lineRule="auto" w:after="80"/>
        <w:ind w:firstLine="397"/>
        <w:jc w:val="both"/>
        <w:bidi/>
      </w:pPr>
      <w:r>
        <w:t>التعريف: تعليق الحكم في دعوى النسخ عند نقص التاريخ أو تعادل الفرضيات أو ضعف الدليل.</w:t>
      </w:r>
    </w:p>
    <w:p>
      <w:pPr>
        <w:spacing w:line="283" w:lineRule="auto" w:after="80"/>
        <w:ind w:firstLine="397"/>
        <w:jc w:val="both"/>
        <w:bidi/>
      </w:pPr>
      <w:r>
        <w:t>الحد المانع: لا يُستعمل هذا المصطلح بديلاً عن تحليل العلاقة بين النصين، ويجب أن يذكر الباحث ما يبقى من الحكم وما يرتفع وما مجال كل منهما.</w:t>
      </w:r>
    </w:p>
    <w:p>
      <w:pPr>
        <w:spacing w:line="283" w:lineRule="auto" w:after="80"/>
        <w:ind w:firstLine="397"/>
        <w:jc w:val="both"/>
        <w:bidi/>
      </w:pPr>
      <w:r>
        <w:t>قاعدة الاستعمال: يُربط المصطلح بالنص والتاريخ والمخاطب والمناط ودرجة الثقة، ولا يُطلق في الخلاصة من غير تعليل.</w:t>
      </w:r>
    </w:p>
    <w:p>
      <w:r>
        <w:br w:type="page"/>
      </w:r>
    </w:p>
    <w:p>
      <w:pPr>
        <w:pStyle w:val="Heading1"/>
        <w:spacing w:line="283" w:lineRule="auto" w:after="120"/>
        <w:jc w:val="right"/>
        <w:keepNext/>
        <w:bidi/>
      </w:pPr>
      <w:r>
        <w:t>الأربعون قاعدة في تحقيق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الأصل بقاء دلالة الآية وحكمها في مجالها حتى يثبت الرفع.</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ابدأ بتحديد الحكم لا باسم السورة أو الموضوع.</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لا تثبت النسخ قبل جمع جميع الآيات ذات الصلة.</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افصل النص من تفسيره التاريخي.</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افصل نسخ الحكم من نسخ التلاوة.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تجعل اختلاف اللفظ دليلاً على رفع الحكم.</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اختبر الجمع قبل النسخ.</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اختبر التخصيص قبل النسخ.</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اختبر التقييد قبل النسخ.</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اختبر التفصيل قبل النسخ.</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اختبر التدرج قبل النسخ.</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اختبر تغير المناط قبل النسخ.</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اختبر اختلاف المخاطب قبل النسخ.</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اختبر اختلاف المقام قبل النسخ.</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لا يثبت النسخ بلا تاريخ معتبر أو نص صريح في الرفع.</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ترتيب المصحف لا يساوي ترتيب النزول.</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مكية السورة أو مدنيتها قرينة لا حكم نهائي على كل آية.</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سبب النزول لا يثبت النسخ بذاته.</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الشهرة في كتب الناسخ والمنسوخ لا تغني عن الدليل.</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العدد الكبير للمنسوخات ليس فضيلة تفسيرية.</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التفسير الذي يحفظ الدلالات أولى من الإلغاء إذا صح الجمع.</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الجمع المتكلف لا يمنع النسخ إذا ثبت الرفع بوضوح.</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لا ينسخ المحتمل المحكم.</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لا يرفع خبر ضعيف حكماً قرآنياً محكماً.</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بيان الرسول الثابت قد يخصص أو يقيد ولا يسمى نسخاً بلا موجب.</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العقائد والأخبار الصادقة لا يدخلها النسخ بمعنى رفع صدقها.</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ترتفع عتبة إثبات النسخ في العقوبات والحقوق.</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يجب بيان ما الذي يبقى من الآية بعد نسخ حكمها إن ثبت.</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تعدد التطبيق لا يساوي تعدد الحكم.</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تعدد المراحل لا يساوي دائماً تعدد الأحكام الناسخة.</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الحكم المؤقت قد ينتهي بانتهاء وقته من غير نسخ اصطلاحي.</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تغير الواقع لا ينسخ النص؛ بل يغير تحقق المناط.</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كل دعوى نسخ تحتاج إلى فرضية منافسة.</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تُذكر القرائن النافية مثل المؤيدة.</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التوقف أولى من النسخ عند جهل التاريخ المؤثر.</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لا تُستخدم المقاصد لإثبات النسخ بلا نص أو تاريخ.</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لا يُستخدم المآل لإلغاء حكم ثابت.</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الذكاء الاصطناعي يقترح العلاقات ولا يقرر الناسخ والمنسوخ.</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كل حكم نسخ يحمل إصداراً ومصادر واعتراضات.</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يخضع منهج النسخ نفسه لحاكمية القرآن والبيان والقسط.</w:t>
            </w:r>
          </w:p>
        </w:tc>
      </w:tr>
    </w:tbl>
    <w:p>
      <w:pPr>
        <w:spacing w:after="20"/>
      </w:pPr>
    </w:p>
    <w:p>
      <w:pPr>
        <w:spacing w:line="283" w:lineRule="auto" w:after="80"/>
        <w:ind w:firstLine="397"/>
        <w:jc w:val="both"/>
        <w:bidi/>
      </w:pPr>
      <w:r>
        <w:t>القاعدة 1: الأصل بقاء دلالة الآية وحكمها في مجالها حتى يثبت الرفع.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 ابدأ بتحديد الحكم لا باسم السورة أو الموضوع.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 لا تثبت النسخ قبل جمع جميع الآيات ذات الصلة.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4: افصل النص من تفسيره التاريخي.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5: افصل نسخ الحكم من نسخ التلاوة.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6: لا تجعل اختلاف اللفظ دليلاً على رفع الحكم.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7: اختبر الجمع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8: اختبر التخصيص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9: اختبر التقييد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10: اختبر التفصيل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11: اختبر التدرج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12: اختبر تغير المناط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13: اختبر اختلاف المخاطب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14: اختبر اختلاف المقام قبل النسخ.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15: لا يثبت النسخ بلا تاريخ معتبر أو نص صريح في الرفع.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16: ترتيب المصحف لا يساوي ترتيب النزول.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17: مكية السورة أو مدنيتها قرينة لا حكم نهائي على كل آية.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18: سبب النزول لا يثبت النسخ بذاته.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19: الشهرة في كتب الناسخ والمنسوخ لا تغني عن الدليل.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20: العدد الكبير للمنسوخات ليس فضيلة تفسيرية.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21: التفسير الذي يحفظ الدلالات أولى من الإلغاء إذا صح الجمع.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22: الجمع المتكلف لا يمنع النسخ إذا ثبت الرفع بوضوح.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23: لا ينسخ المحتمل المحكم.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24: لا يرفع خبر ضعيف حكماً قرآنياً محكماً.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25: بيان الرسول الثابت قد يخصص أو يقيد ولا يسمى نسخاً بلا موجب.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26: العقائد والأخبار الصادقة لا يدخلها النسخ بمعنى رفع صدقها.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27: ترتفع عتبة إثبات النسخ في العقوبات والحقوق.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28: يجب بيان ما الذي يبقى من الآية بعد نسخ حكمها إن ثبت.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29: تعدد التطبيق لا يساوي تعدد الحكم.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30: تعدد المراحل لا يساوي دائماً تعدد الأحكام الناسخة.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31: الحكم المؤقت قد ينتهي بانتهاء وقته من غير نسخ اصطلاحي.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32: تغير الواقع لا ينسخ النص؛ بل يغير تحقق المناط.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33: كل دعوى نسخ تحتاج إلى فرضية منافسة.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34: تُذكر القرائن النافية مثل المؤيدة.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35: التوقف أولى من النسخ عند جهل التاريخ المؤثر.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36: لا تُستخدم المقاصد لإثبات النسخ بلا نص أو تاريخ.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37: لا يُستخدم المآل لإلغاء حكم ثابت.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38: الذكاء الاصطناعي يقترح العلاقات ولا يقرر الناسخ والمنسوخ.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39: كل حكم نسخ يحمل إصداراً ومصادر واعتراضات. وتعمل هذه القاعدة داخل المصفوفة الجامعة، ولا يجوز استعمالها منفردةً لإثبات نتيجة مقررة سلفاً.</w:t>
      </w:r>
    </w:p>
    <w:p>
      <w:pPr>
        <w:spacing w:line="283" w:lineRule="auto" w:after="80"/>
        <w:ind w:firstLine="397"/>
        <w:jc w:val="both"/>
        <w:bidi/>
      </w:pPr>
      <w:r>
        <w:t>القاعدة 40: يخضع منهج النسخ نفسه لحاكمية القرآن والبيان والقسط. وتعمل هذه القاعدة داخل المصفوفة الجامعة، ولا يجوز استعمالها منفردةً لإثبات نتيجة مقررة سلفاً.</w:t>
      </w:r>
    </w:p>
    <w:p>
      <w:r>
        <w:br w:type="page"/>
      </w:r>
    </w:p>
    <w:p>
      <w:pPr>
        <w:pStyle w:val="Heading1"/>
        <w:spacing w:line="283" w:lineRule="auto" w:after="120"/>
        <w:jc w:val="right"/>
        <w:keepNext/>
        <w:bidi/>
      </w:pPr>
      <w:r>
        <w:t>الأربعون مغالطة في دعوى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كل اختلاف نسخ.</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كل متأخر ناسخ.</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ترتيب المصحف ترتيب نزول.</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مكية السورة على جميع آياتها.</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شهرة القول دليلاً.</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كثرة قوائم المنسوخ.</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التدرج بوصفه نسخاً دائماً.</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التخصيص بوصفه رفعاً.</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التقييد بوصفه إلغاءً.</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تغير المناط بوصفه نسخاً.</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اختلاف المخاطب بوصفه تعارضاً.</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اختلاف المقام بوصفه رفعاً.</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خبر آحاد يرفع محكماً.</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سبب النزول يثبت التاريخ وحده.</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الرواية المتأخرة تصف لحظة النزول يقيناً.</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كل حكم شديد متأخر ناسخ للرحمة.</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آية السيف ناسخةً لعشرات الآيات بلا تفصيل.</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الوصية منسوخة بالكامل بالميراث من غير تحرير.</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تحويل القبلة يلغي كل دلالات القبلة الأولى.</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تحريم الخمر ينسخ كل آية سابقة في وصفه.</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نسخ الأخبار.</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نسخ القصص.</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نسخ أصول التوحيد.</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نسخ القيم الأخلاقية العامة.</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نسخ التلاوة لإصلاح تعارض تاريخي.</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الحديث الضعيف دليلاً على سقوط التلاوة.</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القراءة الشاذة نصاً منسوخاً.</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الجمع المتكلف لمنع نسخ ثابت.</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النسخ السهل لحل كل تعارض.</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المقصد الحديث ناسخاً للنص.</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القانون المعاصر ناسخاً للحكم.</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الواقع ناسخاً للوحي.</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المصلحة ناسخةً بلا دليل.</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قول الصحابي حاسماً للتاريخ دائماً.</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الإجماع المدعى بلا تحقيق.</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المذهب معياراً للناسخ والمنسوخ.</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الحوسبة تكتشف النسخ آلياً.</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درجة الثقة الرقمية حاكمةً على النص.</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عصمة قائمة المنسوخات.</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نظرية نفي النسخ أيضاً.</w:t>
            </w:r>
          </w:p>
        </w:tc>
      </w:tr>
    </w:tbl>
    <w:p>
      <w:pPr>
        <w:spacing w:after="20"/>
      </w:pPr>
    </w:p>
    <w:p>
      <w:pPr>
        <w:spacing w:line="283" w:lineRule="auto" w:after="80"/>
        <w:ind w:firstLine="397"/>
        <w:jc w:val="both"/>
        <w:bidi/>
      </w:pPr>
      <w:r>
        <w:t>المغالطة 1: مغالطة كل اختلاف نسخ.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 مغالطة كل متأخر ناسخ.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 مغالطة ترتيب المصحف ترتيب نزول.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4: مغالطة مكية السورة على جميع آياتها.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5: مغالطة شهرة القول دليلاً.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6: مغالطة كثرة قوائم المنسوخ.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7: مغالطة التدرج بوصفه نسخاً دائماً.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8: مغالطة التخصيص بوصفه رفعاً.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9: مغالطة التقييد بوصفه إلغاءً.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10: مغالطة تغير المناط بوصفه نسخاً.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11: مغالطة اختلاف المخاطب بوصفه تعارضاً.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12: مغالطة اختلاف المقام بوصفه رفعاً.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13: مغالطة خبر آحاد يرفع محكماً.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14: مغالطة سبب النزول يثبت التاريخ وحده.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15: مغالطة الرواية المتأخرة تصف لحظة النزول يقيناً.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16: مغالطة كل حكم شديد متأخر ناسخ للرحمة.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17: مغالطة آية السيف ناسخةً لعشرات الآيات بلا تفصيل.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18: مغالطة الوصية منسوخة بالكامل بالميراث من غير تحرير.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19: مغالطة تحويل القبلة يلغي كل دلالات القبلة الأولى.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20: مغالطة تحريم الخمر ينسخ كل آية سابقة في وصفه.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21: مغالطة نسخ الأخبار.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22: مغالطة نسخ القصص.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23: مغالطة نسخ أصول التوحيد.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24: مغالطة نسخ القيم الأخلاقية العامة.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25: مغالطة نسخ التلاوة لإصلاح تعارض تاريخي.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26: مغالطة الحديث الضعيف دليلاً على سقوط التلاوة.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27: مغالطة القراءة الشاذة نصاً منسوخاً.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28: مغالطة الجمع المتكلف لمنع نسخ ثابت.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29: مغالطة النسخ السهل لحل كل تعارض.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30: مغالطة المقصد الحديث ناسخاً للنص.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31: مغالطة القانون المعاصر ناسخاً للحكم.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32: مغالطة الواقع ناسخاً للوحي.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33: مغالطة المصلحة ناسخةً بلا دليل.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34: مغالطة قول الصحابي حاسماً للتاريخ دائماً.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35: مغالطة الإجماع المدعى بلا تحقيق.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36: مغالطة المذهب معياراً للناسخ والمنسوخ.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37: مغالطة الحوسبة تكتشف النسخ آلياً.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38: مغالطة درجة الثقة الرقمية حاكمةً على النص.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39: مغالطة عصمة قائمة المنسوخات. ويُعالجها المنهج بإعادة الدعوى إلى النص والسياق والتاريخ والمناط والبدائل، ثم بيان موضع الدليل الحقيقي لا الاكتفاء بالعنوان.</w:t>
      </w:r>
    </w:p>
    <w:p>
      <w:pPr>
        <w:spacing w:line="283" w:lineRule="auto" w:after="80"/>
        <w:ind w:firstLine="397"/>
        <w:jc w:val="both"/>
        <w:bidi/>
      </w:pPr>
      <w:r>
        <w:t>المغالطة 40: مغالطة عصمة نظرية نفي النسخ أيضاً. ويُعالجها المنهج بإعادة الدعوى إلى النص والسياق والتاريخ والمناط والبدائل، ثم بيان موضع الدليل الحقيقي لا الاكتفاء بالعنوان.</w:t>
      </w:r>
    </w:p>
    <w:p>
      <w:r>
        <w:br w:type="page"/>
      </w:r>
    </w:p>
    <w:p>
      <w:pPr>
        <w:pStyle w:val="Heading1"/>
        <w:spacing w:line="283" w:lineRule="auto" w:after="120"/>
        <w:jc w:val="right"/>
        <w:keepNext/>
        <w:bidi/>
      </w:pPr>
      <w:r>
        <w:t>المختبرات التطبيقية الكبرى</w:t>
      </w:r>
    </w:p>
    <w:p>
      <w:pPr>
        <w:pStyle w:val="Heading2"/>
        <w:spacing w:line="283" w:lineRule="auto" w:after="120"/>
        <w:jc w:val="right"/>
        <w:keepNext/>
        <w:bidi/>
      </w:pPr>
      <w:r>
        <w:t>آية السيف وآيات السلم</w:t>
      </w:r>
    </w:p>
    <w:p>
      <w:pPr>
        <w:spacing w:line="283" w:lineRule="auto" w:after="80"/>
        <w:ind w:firstLine="397"/>
        <w:jc w:val="both"/>
        <w:bidi/>
      </w:pPr>
      <w:r>
        <w:t>سؤال المختبر: هل ترفع التوبة 5 عموم آيات العفو والسلم أم تتعلق بسياق عهدي حربي مخصوص؟</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لا إكراه في الدين</w:t>
      </w:r>
    </w:p>
    <w:p>
      <w:pPr>
        <w:spacing w:line="283" w:lineRule="auto" w:after="80"/>
        <w:ind w:firstLine="397"/>
        <w:jc w:val="both"/>
        <w:bidi/>
      </w:pPr>
      <w:r>
        <w:t>سؤال المختبر: هل نُسخت بآيات القتال أم بقي أصل الإكراه منفصلاً عن أحكام الحرب؟</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تحويل القبلة</w:t>
      </w:r>
    </w:p>
    <w:p>
      <w:pPr>
        <w:spacing w:line="283" w:lineRule="auto" w:after="80"/>
        <w:ind w:firstLine="397"/>
        <w:jc w:val="both"/>
        <w:bidi/>
      </w:pPr>
      <w:r>
        <w:t>سؤال المختبر: ما الذي رُفع: جهة الصلاة أم دلالة بيت المقدس ومقامه؟</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الخمر</w:t>
      </w:r>
    </w:p>
    <w:p>
      <w:pPr>
        <w:spacing w:line="283" w:lineRule="auto" w:after="80"/>
        <w:ind w:firstLine="397"/>
        <w:jc w:val="both"/>
        <w:bidi/>
      </w:pPr>
      <w:r>
        <w:t>سؤال المختبر: هل تمثل المراحل نسخاً متتابعاً أم تدرجاً انتهى بتحريم نهائي مع بقاء الأوصاف السابقة؟</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الوصية للوالدين والأقربين</w:t>
      </w:r>
    </w:p>
    <w:p>
      <w:pPr>
        <w:spacing w:line="283" w:lineRule="auto" w:after="80"/>
        <w:ind w:firstLine="397"/>
        <w:jc w:val="both"/>
        <w:bidi/>
      </w:pPr>
      <w:r>
        <w:t>سؤال المختبر: ما علاقة البقرة 180 بآيات المواريث، وهل هو نسخ كلي أم تخصيص أو مجال مستقل؟</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عدة المتوفى عنها زوجها</w:t>
      </w:r>
    </w:p>
    <w:p>
      <w:pPr>
        <w:spacing w:line="283" w:lineRule="auto" w:after="80"/>
        <w:ind w:firstLine="397"/>
        <w:jc w:val="both"/>
        <w:bidi/>
      </w:pPr>
      <w:r>
        <w:t>سؤال المختبر: كيف تُفهم البقرة 240 مع البقرة 234؟</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المصابرة في الأنفال</w:t>
      </w:r>
    </w:p>
    <w:p>
      <w:pPr>
        <w:spacing w:line="283" w:lineRule="auto" w:after="80"/>
        <w:ind w:firstLine="397"/>
        <w:jc w:val="both"/>
        <w:bidi/>
      </w:pPr>
      <w:r>
        <w:t>سؤال المختبر: هل الأنفال 66 نسخت الأنفال 65 أم خففت حكماً لمرحلة قدرة مختلفة؟</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قيام الليل</w:t>
      </w:r>
    </w:p>
    <w:p>
      <w:pPr>
        <w:spacing w:line="283" w:lineRule="auto" w:after="80"/>
        <w:ind w:firstLine="397"/>
        <w:jc w:val="both"/>
        <w:bidi/>
      </w:pPr>
      <w:r>
        <w:t>سؤال المختبر: ما علاقة المزمل 2-4 بآخر السورة، وهل الرفع عن الأمة أو عن النبي أو تخفيف؟</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النجوى والصدقة</w:t>
      </w:r>
    </w:p>
    <w:p>
      <w:pPr>
        <w:spacing w:line="283" w:lineRule="auto" w:after="80"/>
        <w:ind w:firstLine="397"/>
        <w:jc w:val="both"/>
        <w:bidi/>
      </w:pPr>
      <w:r>
        <w:t>سؤال المختبر: هل المجادلة 13 نسخت المجادلة 12، وما وظيفة الحكم المؤقت؟</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العفو والقصاص</w:t>
      </w:r>
    </w:p>
    <w:p>
      <w:pPr>
        <w:spacing w:line="283" w:lineRule="auto" w:after="80"/>
        <w:ind w:firstLine="397"/>
        <w:jc w:val="both"/>
        <w:bidi/>
      </w:pPr>
      <w:r>
        <w:t>سؤال المختبر: هل آيات القصاص ترفع العفو أم تنظمه ضمن خيارات؟</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الزنا والعقوبة</w:t>
      </w:r>
    </w:p>
    <w:p>
      <w:pPr>
        <w:spacing w:line="283" w:lineRule="auto" w:after="80"/>
        <w:ind w:firstLine="397"/>
        <w:jc w:val="both"/>
        <w:bidi/>
      </w:pPr>
      <w:r>
        <w:t>سؤال المختبر: كيف تُفهم النساء 15-16 مع النور 2 والروايات؟</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الزكاة والصدقات</w:t>
      </w:r>
    </w:p>
    <w:p>
      <w:pPr>
        <w:spacing w:line="283" w:lineRule="auto" w:after="80"/>
        <w:ind w:firstLine="397"/>
        <w:jc w:val="both"/>
        <w:bidi/>
      </w:pPr>
      <w:r>
        <w:t>سؤال المختبر: هل اختلاف المقادير والمصارف نسخ أم تفصيل وتنوع؟</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القتال في الأشهر الحرم</w:t>
      </w:r>
    </w:p>
    <w:p>
      <w:pPr>
        <w:spacing w:line="283" w:lineRule="auto" w:after="80"/>
        <w:ind w:firstLine="397"/>
        <w:jc w:val="both"/>
        <w:bidi/>
      </w:pPr>
      <w:r>
        <w:t>سؤال المختبر: هل الأحكام المتعددة تعكس نسخاً أم استثناءات ومقامات؟</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موالات أهل الكتاب</w:t>
      </w:r>
    </w:p>
    <w:p>
      <w:pPr>
        <w:spacing w:line="283" w:lineRule="auto" w:after="80"/>
        <w:ind w:firstLine="397"/>
        <w:jc w:val="both"/>
        <w:bidi/>
      </w:pPr>
      <w:r>
        <w:t>سؤال المختبر: هل آيات البر والقسط وآيات النهي متعارضة أم مختلفة المناط؟</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الصفح والعفو في مكة والقتال في المدينة</w:t>
      </w:r>
    </w:p>
    <w:p>
      <w:pPr>
        <w:spacing w:line="283" w:lineRule="auto" w:after="80"/>
        <w:ind w:firstLine="397"/>
        <w:jc w:val="both"/>
        <w:bidi/>
      </w:pPr>
      <w:r>
        <w:t>سؤال المختبر: هل الانتقال التاريخي رفع العفو أم أضاف سلطة دفاعية مع بقاء فضيلة العفو؟</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آيات الصيام</w:t>
      </w:r>
    </w:p>
    <w:p>
      <w:pPr>
        <w:spacing w:line="283" w:lineRule="auto" w:after="80"/>
        <w:ind w:firstLine="397"/>
        <w:jc w:val="both"/>
        <w:bidi/>
      </w:pPr>
      <w:r>
        <w:t>سؤال المختبر: ما علاقة التخيير في الفدية بفرض الصيام، وهل كل أفراد الحكم الأول مرفوعون؟</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الميراث والوصية</w:t>
      </w:r>
    </w:p>
    <w:p>
      <w:pPr>
        <w:spacing w:line="283" w:lineRule="auto" w:after="80"/>
        <w:ind w:firstLine="397"/>
        <w:jc w:val="both"/>
        <w:bidi/>
      </w:pPr>
      <w:r>
        <w:t>سؤال المختبر: كيف تتكامل بنية الحقوق من غير إلغاء الوصية مطلقاً؟</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نسخ التلاوة في الروايات</w:t>
      </w:r>
    </w:p>
    <w:p>
      <w:pPr>
        <w:spacing w:line="283" w:lineRule="auto" w:after="80"/>
        <w:ind w:firstLine="397"/>
        <w:jc w:val="both"/>
        <w:bidi/>
      </w:pPr>
      <w:r>
        <w:t>سؤال المختبر: ما معيار قبول دعوى سقوط نص كان قرآناً؟</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القرآن والسنة في حد الرجم</w:t>
      </w:r>
    </w:p>
    <w:p>
      <w:pPr>
        <w:spacing w:line="283" w:lineRule="auto" w:after="80"/>
        <w:ind w:firstLine="397"/>
        <w:jc w:val="both"/>
        <w:bidi/>
      </w:pPr>
      <w:r>
        <w:t>سؤال المختبر: هل يمكن بناء نسخ قرآني من السنة، أم القضية من باب آخر؟</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2"/>
        <w:spacing w:line="283" w:lineRule="auto" w:after="120"/>
        <w:jc w:val="right"/>
        <w:keepNext/>
        <w:bidi/>
      </w:pPr>
      <w:r>
        <w:t>تعدد السبب واتحاد الحكم</w:t>
      </w:r>
    </w:p>
    <w:p>
      <w:pPr>
        <w:spacing w:line="283" w:lineRule="auto" w:after="80"/>
        <w:ind w:firstLine="397"/>
        <w:jc w:val="both"/>
        <w:bidi/>
      </w:pPr>
      <w:r>
        <w:t>سؤال المختبر: هل تغير الوقائع مع الحكم الواحد يدل على نسخ أم تعدد تطبيق؟</w:t>
      </w:r>
    </w:p>
    <w:p>
      <w:pPr>
        <w:pStyle w:val="Heading3"/>
        <w:spacing w:line="283" w:lineRule="auto" w:after="120"/>
        <w:jc w:val="right"/>
        <w:keepNext/>
        <w:bidi/>
      </w:pPr>
      <w:r>
        <w:t>تحرير الدعوى</w:t>
      </w:r>
    </w:p>
    <w:p>
      <w:pPr>
        <w:spacing w:line="283" w:lineRule="auto" w:after="80"/>
        <w:ind w:firstLine="397"/>
        <w:jc w:val="both"/>
        <w:bidi/>
      </w:pPr>
      <w:r>
        <w:t>يُحدد النص المدعى ناسخاً والمنسوخ والحكم الذي قيل برفعه.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جمع المدونة</w:t>
      </w:r>
    </w:p>
    <w:p>
      <w:pPr>
        <w:spacing w:line="283" w:lineRule="auto" w:after="80"/>
        <w:ind w:firstLine="397"/>
        <w:jc w:val="both"/>
        <w:bidi/>
      </w:pPr>
      <w:r>
        <w:t>تُجمع جميع الآيات والروايات والسياقات ذات الصلة مع النصوص النافية.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التاريخ</w:t>
      </w:r>
    </w:p>
    <w:p>
      <w:pPr>
        <w:spacing w:line="283" w:lineRule="auto" w:after="80"/>
        <w:ind w:firstLine="397"/>
        <w:jc w:val="both"/>
        <w:bidi/>
      </w:pPr>
      <w:r>
        <w:t>يُفحص المتقدم والمتأخر ومصادر الترتيب ودرجة الثقة.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بدائل النسخ</w:t>
      </w:r>
    </w:p>
    <w:p>
      <w:pPr>
        <w:spacing w:line="283" w:lineRule="auto" w:after="80"/>
        <w:ind w:firstLine="397"/>
        <w:jc w:val="both"/>
        <w:bidi/>
      </w:pPr>
      <w:r>
        <w:t>تُختبر فرضيات الجمع والتخصيص والتقييد والتدرج وتغير المناط.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المخاطب والمقام</w:t>
      </w:r>
    </w:p>
    <w:p>
      <w:pPr>
        <w:spacing w:line="283" w:lineRule="auto" w:after="80"/>
        <w:ind w:firstLine="397"/>
        <w:jc w:val="both"/>
        <w:bidi/>
      </w:pPr>
      <w:r>
        <w:t>يُحدد من خوطب وما الظرف والسلطة والوظيفة. ولا تنتقل المرحلة إلى التالية إذا بقي نقص جوهري مخفي، بل يُسجل النقص ويظهر أثره في درجة النتيجة.</w:t>
      </w:r>
    </w:p>
    <w:p>
      <w:pPr>
        <w:pStyle w:val="Heading3"/>
        <w:spacing w:line="283" w:lineRule="auto" w:after="120"/>
        <w:jc w:val="right"/>
        <w:keepNext/>
        <w:bidi/>
      </w:pPr>
      <w:r>
        <w:t>الحكم</w:t>
      </w:r>
    </w:p>
    <w:p>
      <w:pPr>
        <w:spacing w:line="283" w:lineRule="auto" w:after="80"/>
        <w:ind w:firstLine="397"/>
        <w:jc w:val="both"/>
        <w:bidi/>
      </w:pPr>
      <w:r>
        <w:t>تُصاغ النتيجة بدرجة: نسخ ثابت أو راجح أو محتمل أو مرفوض أو متوقف فيه. ولا تنتقل المرحلة إلى التالية إذا بقي نقص جوهري مخفي، بل يُسجل النقص ويظهر أثره في درجة النتيجة.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20"/>
              </w:rPr>
              <w:t>الطبقة</w:t>
            </w:r>
          </w:p>
        </w:tc>
        <w:tc>
          <w:tcPr>
            <w:tcW w:type="dxa" w:w="3952"/>
            <w:vAlign w:val="center"/>
          </w:tcPr>
          <w:p>
            <w:pPr>
              <w:spacing w:line="283" w:lineRule="auto" w:after="0"/>
              <w:jc w:val="center"/>
              <w:bidi/>
            </w:pPr>
            <w:r>
              <w:rPr>
                <w:b/>
                <w:sz w:val="20"/>
              </w:rPr>
              <w:t>المخرج</w:t>
            </w:r>
          </w:p>
        </w:tc>
      </w:tr>
      <w:tr>
        <w:tc>
          <w:tcPr>
            <w:tcW w:type="dxa" w:w="3952"/>
            <w:vAlign w:val="center"/>
          </w:tcPr>
          <w:p>
            <w:pPr>
              <w:spacing w:line="283" w:lineRule="auto" w:after="0"/>
              <w:jc w:val="right"/>
              <w:bidi/>
            </w:pPr>
            <w:r>
              <w:rPr>
                <w:sz w:val="20"/>
              </w:rPr>
              <w:t>النص</w:t>
            </w:r>
          </w:p>
        </w:tc>
        <w:tc>
          <w:tcPr>
            <w:tcW w:type="dxa" w:w="3952"/>
            <w:vAlign w:val="center"/>
          </w:tcPr>
          <w:p>
            <w:pPr>
              <w:spacing w:line="283" w:lineRule="auto" w:after="0"/>
              <w:jc w:val="right"/>
              <w:bidi/>
            </w:pPr>
            <w:r>
              <w:rPr>
                <w:sz w:val="20"/>
              </w:rPr>
              <w:t>دعوى محددة</w:t>
            </w:r>
          </w:p>
        </w:tc>
      </w:tr>
      <w:tr>
        <w:tc>
          <w:tcPr>
            <w:tcW w:type="dxa" w:w="3952"/>
            <w:vAlign w:val="center"/>
          </w:tcPr>
          <w:p>
            <w:pPr>
              <w:spacing w:line="283" w:lineRule="auto" w:after="0"/>
              <w:jc w:val="right"/>
              <w:bidi/>
            </w:pPr>
            <w:r>
              <w:rPr>
                <w:sz w:val="20"/>
              </w:rPr>
              <w:t>التاريخ</w:t>
            </w:r>
          </w:p>
        </w:tc>
        <w:tc>
          <w:tcPr>
            <w:tcW w:type="dxa" w:w="3952"/>
            <w:vAlign w:val="center"/>
          </w:tcPr>
          <w:p>
            <w:pPr>
              <w:spacing w:line="283" w:lineRule="auto" w:after="0"/>
              <w:jc w:val="right"/>
              <w:bidi/>
            </w:pPr>
            <w:r>
              <w:rPr>
                <w:sz w:val="20"/>
              </w:rPr>
              <w:t>درجة ثقة</w:t>
            </w:r>
          </w:p>
        </w:tc>
      </w:tr>
      <w:tr>
        <w:tc>
          <w:tcPr>
            <w:tcW w:type="dxa" w:w="3952"/>
            <w:vAlign w:val="center"/>
          </w:tcPr>
          <w:p>
            <w:pPr>
              <w:spacing w:line="283" w:lineRule="auto" w:after="0"/>
              <w:jc w:val="right"/>
              <w:bidi/>
            </w:pPr>
            <w:r>
              <w:rPr>
                <w:sz w:val="20"/>
              </w:rPr>
              <w:t>العلاقة</w:t>
            </w:r>
          </w:p>
        </w:tc>
        <w:tc>
          <w:tcPr>
            <w:tcW w:type="dxa" w:w="3952"/>
            <w:vAlign w:val="center"/>
          </w:tcPr>
          <w:p>
            <w:pPr>
              <w:spacing w:line="283" w:lineRule="auto" w:after="0"/>
              <w:jc w:val="right"/>
              <w:bidi/>
            </w:pPr>
            <w:r>
              <w:rPr>
                <w:sz w:val="20"/>
              </w:rPr>
              <w:t>نسخ/تخصيص/تقييد/تدرج/غيره</w:t>
            </w:r>
          </w:p>
        </w:tc>
      </w:tr>
      <w:tr>
        <w:tc>
          <w:tcPr>
            <w:tcW w:type="dxa" w:w="3952"/>
            <w:vAlign w:val="center"/>
          </w:tcPr>
          <w:p>
            <w:pPr>
              <w:spacing w:line="283" w:lineRule="auto" w:after="0"/>
              <w:jc w:val="right"/>
              <w:bidi/>
            </w:pPr>
            <w:r>
              <w:rPr>
                <w:sz w:val="20"/>
              </w:rPr>
              <w:t>البديل</w:t>
            </w:r>
          </w:p>
        </w:tc>
        <w:tc>
          <w:tcPr>
            <w:tcW w:type="dxa" w:w="3952"/>
            <w:vAlign w:val="center"/>
          </w:tcPr>
          <w:p>
            <w:pPr>
              <w:spacing w:line="283" w:lineRule="auto" w:after="0"/>
              <w:jc w:val="right"/>
              <w:bidi/>
            </w:pPr>
            <w:r>
              <w:rPr>
                <w:sz w:val="20"/>
              </w:rPr>
              <w:t>فرضية منافسة</w:t>
            </w:r>
          </w:p>
        </w:tc>
      </w:tr>
      <w:tr>
        <w:tc>
          <w:tcPr>
            <w:tcW w:type="dxa" w:w="3952"/>
            <w:vAlign w:val="center"/>
          </w:tcPr>
          <w:p>
            <w:pPr>
              <w:spacing w:line="283" w:lineRule="auto" w:after="0"/>
              <w:jc w:val="right"/>
              <w:bidi/>
            </w:pPr>
            <w:r>
              <w:rPr>
                <w:sz w:val="20"/>
              </w:rPr>
              <w:t>الحكم</w:t>
            </w:r>
          </w:p>
        </w:tc>
        <w:tc>
          <w:tcPr>
            <w:tcW w:type="dxa" w:w="3952"/>
            <w:vAlign w:val="center"/>
          </w:tcPr>
          <w:p>
            <w:pPr>
              <w:spacing w:line="283" w:lineRule="auto" w:after="0"/>
              <w:jc w:val="right"/>
              <w:bidi/>
            </w:pPr>
            <w:r>
              <w:rPr>
                <w:sz w:val="20"/>
              </w:rPr>
              <w:t>نتيجة معللة</w:t>
            </w:r>
          </w:p>
        </w:tc>
      </w:tr>
    </w:tbl>
    <w:p>
      <w:pPr>
        <w:spacing w:after="20"/>
      </w:pPr>
    </w:p>
    <w:p>
      <w:pPr>
        <w:pStyle w:val="Heading1"/>
        <w:spacing w:line="283" w:lineRule="auto" w:after="120"/>
        <w:jc w:val="right"/>
        <w:keepNext/>
        <w:bidi/>
      </w:pPr>
      <w:r>
        <w:t>درجات الحكم على دعوى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الدرجة</w:t>
            </w:r>
          </w:p>
        </w:tc>
        <w:tc>
          <w:tcPr>
            <w:tcW w:type="dxa" w:w="3952"/>
            <w:vAlign w:val="center"/>
          </w:tcPr>
          <w:p>
            <w:pPr>
              <w:spacing w:line="283" w:lineRule="auto" w:after="0"/>
              <w:jc w:val="center"/>
              <w:bidi/>
            </w:pPr>
            <w:r>
              <w:rPr>
                <w:b/>
                <w:sz w:val="19"/>
              </w:rPr>
              <w:t>تعريفها</w:t>
            </w:r>
          </w:p>
        </w:tc>
      </w:tr>
      <w:tr>
        <w:tc>
          <w:tcPr>
            <w:tcW w:type="dxa" w:w="3952"/>
            <w:vAlign w:val="center"/>
          </w:tcPr>
          <w:p>
            <w:pPr>
              <w:spacing w:line="283" w:lineRule="auto" w:after="0"/>
              <w:jc w:val="right"/>
              <w:bidi/>
            </w:pPr>
            <w:r>
              <w:rPr>
                <w:sz w:val="19"/>
              </w:rPr>
              <w:t>نسخ محكم</w:t>
            </w:r>
          </w:p>
        </w:tc>
        <w:tc>
          <w:tcPr>
            <w:tcW w:type="dxa" w:w="3952"/>
            <w:vAlign w:val="center"/>
          </w:tcPr>
          <w:p>
            <w:pPr>
              <w:spacing w:line="283" w:lineRule="auto" w:after="0"/>
              <w:jc w:val="right"/>
              <w:bidi/>
            </w:pPr>
            <w:r>
              <w:rPr>
                <w:sz w:val="19"/>
              </w:rPr>
              <w:t>ثبت النصان والتاريخ ودلالة الرفع وتعذر الجمع المعتبر.</w:t>
            </w:r>
          </w:p>
        </w:tc>
      </w:tr>
      <w:tr>
        <w:tc>
          <w:tcPr>
            <w:tcW w:type="dxa" w:w="3952"/>
            <w:vAlign w:val="center"/>
          </w:tcPr>
          <w:p>
            <w:pPr>
              <w:spacing w:line="283" w:lineRule="auto" w:after="0"/>
              <w:jc w:val="right"/>
              <w:bidi/>
            </w:pPr>
            <w:r>
              <w:rPr>
                <w:sz w:val="19"/>
              </w:rPr>
              <w:t>نسخ راجح</w:t>
            </w:r>
          </w:p>
        </w:tc>
        <w:tc>
          <w:tcPr>
            <w:tcW w:type="dxa" w:w="3952"/>
            <w:vAlign w:val="center"/>
          </w:tcPr>
          <w:p>
            <w:pPr>
              <w:spacing w:line="283" w:lineRule="auto" w:after="0"/>
              <w:jc w:val="right"/>
              <w:bidi/>
            </w:pPr>
            <w:r>
              <w:rPr>
                <w:sz w:val="19"/>
              </w:rPr>
              <w:t>غلبت دلالة الرفع والتاريخ مع بقاء احتمال أضعف.</w:t>
            </w:r>
          </w:p>
        </w:tc>
      </w:tr>
      <w:tr>
        <w:tc>
          <w:tcPr>
            <w:tcW w:type="dxa" w:w="3952"/>
            <w:vAlign w:val="center"/>
          </w:tcPr>
          <w:p>
            <w:pPr>
              <w:spacing w:line="283" w:lineRule="auto" w:after="0"/>
              <w:jc w:val="right"/>
              <w:bidi/>
            </w:pPr>
            <w:r>
              <w:rPr>
                <w:sz w:val="19"/>
              </w:rPr>
              <w:t>نسخ مقيد</w:t>
            </w:r>
          </w:p>
        </w:tc>
        <w:tc>
          <w:tcPr>
            <w:tcW w:type="dxa" w:w="3952"/>
            <w:vAlign w:val="center"/>
          </w:tcPr>
          <w:p>
            <w:pPr>
              <w:spacing w:line="283" w:lineRule="auto" w:after="0"/>
              <w:jc w:val="right"/>
              <w:bidi/>
            </w:pPr>
            <w:r>
              <w:rPr>
                <w:sz w:val="19"/>
              </w:rPr>
              <w:t>ثبت الرفع في مجال أو مخاطب أو شرط محدد.</w:t>
            </w:r>
          </w:p>
        </w:tc>
      </w:tr>
      <w:tr>
        <w:tc>
          <w:tcPr>
            <w:tcW w:type="dxa" w:w="3952"/>
            <w:vAlign w:val="center"/>
          </w:tcPr>
          <w:p>
            <w:pPr>
              <w:spacing w:line="283" w:lineRule="auto" w:after="0"/>
              <w:jc w:val="right"/>
              <w:bidi/>
            </w:pPr>
            <w:r>
              <w:rPr>
                <w:sz w:val="19"/>
              </w:rPr>
              <w:t>تدرج تشريعي</w:t>
            </w:r>
          </w:p>
        </w:tc>
        <w:tc>
          <w:tcPr>
            <w:tcW w:type="dxa" w:w="3952"/>
            <w:vAlign w:val="center"/>
          </w:tcPr>
          <w:p>
            <w:pPr>
              <w:spacing w:line="283" w:lineRule="auto" w:after="0"/>
              <w:jc w:val="right"/>
              <w:bidi/>
            </w:pPr>
            <w:r>
              <w:rPr>
                <w:sz w:val="19"/>
              </w:rPr>
              <w:t>ثبت انتقال المراحل لكن لا يلزم وصف كل مرحلة بالنسخ.</w:t>
            </w:r>
          </w:p>
        </w:tc>
      </w:tr>
      <w:tr>
        <w:tc>
          <w:tcPr>
            <w:tcW w:type="dxa" w:w="3952"/>
            <w:vAlign w:val="center"/>
          </w:tcPr>
          <w:p>
            <w:pPr>
              <w:spacing w:line="283" w:lineRule="auto" w:after="0"/>
              <w:jc w:val="right"/>
              <w:bidi/>
            </w:pPr>
            <w:r>
              <w:rPr>
                <w:sz w:val="19"/>
              </w:rPr>
              <w:t>تخصيص راجح</w:t>
            </w:r>
          </w:p>
        </w:tc>
        <w:tc>
          <w:tcPr>
            <w:tcW w:type="dxa" w:w="3952"/>
            <w:vAlign w:val="center"/>
          </w:tcPr>
          <w:p>
            <w:pPr>
              <w:spacing w:line="283" w:lineRule="auto" w:after="0"/>
              <w:jc w:val="right"/>
              <w:bidi/>
            </w:pPr>
            <w:r>
              <w:rPr>
                <w:sz w:val="19"/>
              </w:rPr>
              <w:t>بقي حكم العام في غير المخصص.</w:t>
            </w:r>
          </w:p>
        </w:tc>
      </w:tr>
      <w:tr>
        <w:tc>
          <w:tcPr>
            <w:tcW w:type="dxa" w:w="3952"/>
            <w:vAlign w:val="center"/>
          </w:tcPr>
          <w:p>
            <w:pPr>
              <w:spacing w:line="283" w:lineRule="auto" w:after="0"/>
              <w:jc w:val="right"/>
              <w:bidi/>
            </w:pPr>
            <w:r>
              <w:rPr>
                <w:sz w:val="19"/>
              </w:rPr>
              <w:t>تقييد راجح</w:t>
            </w:r>
          </w:p>
        </w:tc>
        <w:tc>
          <w:tcPr>
            <w:tcW w:type="dxa" w:w="3952"/>
            <w:vAlign w:val="center"/>
          </w:tcPr>
          <w:p>
            <w:pPr>
              <w:spacing w:line="283" w:lineRule="auto" w:after="0"/>
              <w:jc w:val="right"/>
              <w:bidi/>
            </w:pPr>
            <w:r>
              <w:rPr>
                <w:sz w:val="19"/>
              </w:rPr>
              <w:t>بقي الحكم المطلق داخل القيد.</w:t>
            </w:r>
          </w:p>
        </w:tc>
      </w:tr>
      <w:tr>
        <w:tc>
          <w:tcPr>
            <w:tcW w:type="dxa" w:w="3952"/>
            <w:vAlign w:val="center"/>
          </w:tcPr>
          <w:p>
            <w:pPr>
              <w:spacing w:line="283" w:lineRule="auto" w:after="0"/>
              <w:jc w:val="right"/>
              <w:bidi/>
            </w:pPr>
            <w:r>
              <w:rPr>
                <w:sz w:val="19"/>
              </w:rPr>
              <w:t>تغير مناط</w:t>
            </w:r>
          </w:p>
        </w:tc>
        <w:tc>
          <w:tcPr>
            <w:tcW w:type="dxa" w:w="3952"/>
            <w:vAlign w:val="center"/>
          </w:tcPr>
          <w:p>
            <w:pPr>
              <w:spacing w:line="283" w:lineRule="auto" w:after="0"/>
              <w:jc w:val="right"/>
              <w:bidi/>
            </w:pPr>
            <w:r>
              <w:rPr>
                <w:sz w:val="19"/>
              </w:rPr>
              <w:t>بقي النص وتغير انطباقه لتغير الواقع أو الشرط.</w:t>
            </w:r>
          </w:p>
        </w:tc>
      </w:tr>
      <w:tr>
        <w:tc>
          <w:tcPr>
            <w:tcW w:type="dxa" w:w="3952"/>
            <w:vAlign w:val="center"/>
          </w:tcPr>
          <w:p>
            <w:pPr>
              <w:spacing w:line="283" w:lineRule="auto" w:after="0"/>
              <w:jc w:val="right"/>
              <w:bidi/>
            </w:pPr>
            <w:r>
              <w:rPr>
                <w:sz w:val="19"/>
              </w:rPr>
              <w:t>دعوى نسخ ضعيفة</w:t>
            </w:r>
          </w:p>
        </w:tc>
        <w:tc>
          <w:tcPr>
            <w:tcW w:type="dxa" w:w="3952"/>
            <w:vAlign w:val="center"/>
          </w:tcPr>
          <w:p>
            <w:pPr>
              <w:spacing w:line="283" w:lineRule="auto" w:after="0"/>
              <w:jc w:val="right"/>
              <w:bidi/>
            </w:pPr>
            <w:r>
              <w:rPr>
                <w:sz w:val="19"/>
              </w:rPr>
              <w:t>تقوم على تاريخ أو رواية أو تعارض غير كاف.</w:t>
            </w:r>
          </w:p>
        </w:tc>
      </w:tr>
      <w:tr>
        <w:tc>
          <w:tcPr>
            <w:tcW w:type="dxa" w:w="3952"/>
            <w:vAlign w:val="center"/>
          </w:tcPr>
          <w:p>
            <w:pPr>
              <w:spacing w:line="283" w:lineRule="auto" w:after="0"/>
              <w:jc w:val="right"/>
              <w:bidi/>
            </w:pPr>
            <w:r>
              <w:rPr>
                <w:sz w:val="19"/>
              </w:rPr>
              <w:t>متوقف فيها</w:t>
            </w:r>
          </w:p>
        </w:tc>
        <w:tc>
          <w:tcPr>
            <w:tcW w:type="dxa" w:w="3952"/>
            <w:vAlign w:val="center"/>
          </w:tcPr>
          <w:p>
            <w:pPr>
              <w:spacing w:line="283" w:lineRule="auto" w:after="0"/>
              <w:jc w:val="right"/>
              <w:bidi/>
            </w:pPr>
            <w:r>
              <w:rPr>
                <w:sz w:val="19"/>
              </w:rPr>
              <w:t>لا تكفي المادة للترجيح.</w:t>
            </w:r>
          </w:p>
        </w:tc>
      </w:tr>
      <w:tr>
        <w:tc>
          <w:tcPr>
            <w:tcW w:type="dxa" w:w="3952"/>
            <w:vAlign w:val="center"/>
          </w:tcPr>
          <w:p>
            <w:pPr>
              <w:spacing w:line="283" w:lineRule="auto" w:after="0"/>
              <w:jc w:val="right"/>
              <w:bidi/>
            </w:pPr>
            <w:r>
              <w:rPr>
                <w:sz w:val="19"/>
              </w:rPr>
              <w:t>دعوى نسخ مرفوضة</w:t>
            </w:r>
          </w:p>
        </w:tc>
        <w:tc>
          <w:tcPr>
            <w:tcW w:type="dxa" w:w="3952"/>
            <w:vAlign w:val="center"/>
          </w:tcPr>
          <w:p>
            <w:pPr>
              <w:spacing w:line="283" w:lineRule="auto" w:after="0"/>
              <w:jc w:val="right"/>
              <w:bidi/>
            </w:pPr>
            <w:r>
              <w:rPr>
                <w:sz w:val="19"/>
              </w:rPr>
              <w:t>ثبت إمكان الجمع أو بقاء الحكم بما يناقض الرفع.</w:t>
            </w:r>
          </w:p>
        </w:tc>
      </w:tr>
    </w:tbl>
    <w:p>
      <w:pPr>
        <w:spacing w:after="20"/>
      </w:pPr>
    </w:p>
    <w:p>
      <w:pPr>
        <w:spacing w:line="283" w:lineRule="auto" w:after="80"/>
        <w:ind w:firstLine="397"/>
        <w:jc w:val="both"/>
        <w:bidi/>
      </w:pPr>
      <w:r>
        <w:t>نسخ محكم: ثبت النصان والتاريخ ودلالة الرفع وتعذر الجمع المعتبر. ويجب أن تذكر النتيجة ما الذي يبقى من النص الأول وما الذي يتغير وما حدود المجال.</w:t>
      </w:r>
    </w:p>
    <w:p>
      <w:pPr>
        <w:spacing w:line="283" w:lineRule="auto" w:after="80"/>
        <w:ind w:firstLine="397"/>
        <w:jc w:val="both"/>
        <w:bidi/>
      </w:pPr>
      <w:r>
        <w:t>نسخ راجح: غلبت دلالة الرفع والتاريخ مع بقاء احتمال أضعف. ويجب أن تذكر النتيجة ما الذي يبقى من النص الأول وما الذي يتغير وما حدود المجال.</w:t>
      </w:r>
    </w:p>
    <w:p>
      <w:pPr>
        <w:spacing w:line="283" w:lineRule="auto" w:after="80"/>
        <w:ind w:firstLine="397"/>
        <w:jc w:val="both"/>
        <w:bidi/>
      </w:pPr>
      <w:r>
        <w:t>نسخ مقيد: ثبت الرفع في مجال أو مخاطب أو شرط محدد. ويجب أن تذكر النتيجة ما الذي يبقى من النص الأول وما الذي يتغير وما حدود المجال.</w:t>
      </w:r>
    </w:p>
    <w:p>
      <w:pPr>
        <w:spacing w:line="283" w:lineRule="auto" w:after="80"/>
        <w:ind w:firstLine="397"/>
        <w:jc w:val="both"/>
        <w:bidi/>
      </w:pPr>
      <w:r>
        <w:t>تدرج تشريعي: ثبت انتقال المراحل لكن لا يلزم وصف كل مرحلة بالنسخ. ويجب أن تذكر النتيجة ما الذي يبقى من النص الأول وما الذي يتغير وما حدود المجال.</w:t>
      </w:r>
    </w:p>
    <w:p>
      <w:pPr>
        <w:spacing w:line="283" w:lineRule="auto" w:after="80"/>
        <w:ind w:firstLine="397"/>
        <w:jc w:val="both"/>
        <w:bidi/>
      </w:pPr>
      <w:r>
        <w:t>تخصيص راجح: بقي حكم العام في غير المخصص. ويجب أن تذكر النتيجة ما الذي يبقى من النص الأول وما الذي يتغير وما حدود المجال.</w:t>
      </w:r>
    </w:p>
    <w:p>
      <w:pPr>
        <w:spacing w:line="283" w:lineRule="auto" w:after="80"/>
        <w:ind w:firstLine="397"/>
        <w:jc w:val="both"/>
        <w:bidi/>
      </w:pPr>
      <w:r>
        <w:t>تقييد راجح: بقي الحكم المطلق داخل القيد. ويجب أن تذكر النتيجة ما الذي يبقى من النص الأول وما الذي يتغير وما حدود المجال.</w:t>
      </w:r>
    </w:p>
    <w:p>
      <w:pPr>
        <w:spacing w:line="283" w:lineRule="auto" w:after="80"/>
        <w:ind w:firstLine="397"/>
        <w:jc w:val="both"/>
        <w:bidi/>
      </w:pPr>
      <w:r>
        <w:t>تغير مناط: بقي النص وتغير انطباقه لتغير الواقع أو الشرط. ويجب أن تذكر النتيجة ما الذي يبقى من النص الأول وما الذي يتغير وما حدود المجال.</w:t>
      </w:r>
    </w:p>
    <w:p>
      <w:pPr>
        <w:spacing w:line="283" w:lineRule="auto" w:after="80"/>
        <w:ind w:firstLine="397"/>
        <w:jc w:val="both"/>
        <w:bidi/>
      </w:pPr>
      <w:r>
        <w:t>دعوى نسخ ضعيفة: تقوم على تاريخ أو رواية أو تعارض غير كاف. ويجب أن تذكر النتيجة ما الذي يبقى من النص الأول وما الذي يتغير وما حدود المجال.</w:t>
      </w:r>
    </w:p>
    <w:p>
      <w:pPr>
        <w:spacing w:line="283" w:lineRule="auto" w:after="80"/>
        <w:ind w:firstLine="397"/>
        <w:jc w:val="both"/>
        <w:bidi/>
      </w:pPr>
      <w:r>
        <w:t>متوقف فيها: لا تكفي المادة للترجيح. ويجب أن تذكر النتيجة ما الذي يبقى من النص الأول وما الذي يتغير وما حدود المجال.</w:t>
      </w:r>
    </w:p>
    <w:p>
      <w:pPr>
        <w:spacing w:line="283" w:lineRule="auto" w:after="80"/>
        <w:ind w:firstLine="397"/>
        <w:jc w:val="both"/>
        <w:bidi/>
      </w:pPr>
      <w:r>
        <w:t>دعوى نسخ مرفوضة: ثبت إمكان الجمع أو بقاء الحكم بما يناقض الرفع. ويجب أن تذكر النتيجة ما الذي يبقى من النص الأول وما الذي يتغير وما حدود المجال.</w:t>
      </w:r>
    </w:p>
    <w:p>
      <w:r>
        <w:br w:type="page"/>
      </w:r>
    </w:p>
    <w:p>
      <w:pPr>
        <w:pStyle w:val="Heading1"/>
        <w:spacing w:line="283" w:lineRule="auto" w:after="120"/>
        <w:jc w:val="right"/>
        <w:keepNext/>
        <w:bidi/>
      </w:pPr>
      <w:r>
        <w:t>الخوارزمية البيانية للتحقق من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المرحلة</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تحرير السؤال والحكم المدعى رفعه.</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تثبيت النص والقراءات.</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تحديد النص المدعى ناسخاً والمنسوخ.</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جمع المدونة القرآنية الكاملة.</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جمع روايات التاريخ وأسباب النزول.</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تحقيق الأسانيد والمتون ذات الصلة.</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تحديد المخاطب والمقام والوظيفة.</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تحليل العموم والخصوص.</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تحليل الإطلاق والتقييد.</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تحليل الإجمال والتفصيل.</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اختبار الجمع الموضوعي والسياقي.</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اختبار التدرج.</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اختبار الحكم المؤقت.</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اختبار تغير المناط.</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إثبات التاريخ ودرجة الثقة.</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فحص دلالة الرفع الصريح أو الضمني.</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بناء فرضية منافسة.</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الترجيح أو التوقف.</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صياغة الحكم متعدد الأبعاد.</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المراجعة المستقلة والإصدار.</w:t>
            </w:r>
          </w:p>
        </w:tc>
      </w:tr>
    </w:tbl>
    <w:p>
      <w:pPr>
        <w:spacing w:after="20"/>
      </w:pPr>
    </w:p>
    <w:p>
      <w:pPr>
        <w:spacing w:line="283" w:lineRule="auto" w:after="80"/>
        <w:ind w:firstLine="397"/>
        <w:jc w:val="both"/>
        <w:bidi/>
      </w:pPr>
      <w:r>
        <w:t>المرحلة 1: تحرير السؤال والحكم المدعى رفعه. وتُحفظ بياناتها ومصادرها والقرائن المؤيدة والنافية، ولا يجوز تجاوزها بلا سبب مسجل.</w:t>
      </w:r>
    </w:p>
    <w:p>
      <w:pPr>
        <w:spacing w:line="283" w:lineRule="auto" w:after="80"/>
        <w:ind w:firstLine="397"/>
        <w:jc w:val="both"/>
        <w:bidi/>
      </w:pPr>
      <w:r>
        <w:t>المرحلة 2: تثبيت النص والقراءات. وتُحفظ بياناتها ومصادرها والقرائن المؤيدة والنافية، ولا يجوز تجاوزها بلا سبب مسجل.</w:t>
      </w:r>
    </w:p>
    <w:p>
      <w:pPr>
        <w:spacing w:line="283" w:lineRule="auto" w:after="80"/>
        <w:ind w:firstLine="397"/>
        <w:jc w:val="both"/>
        <w:bidi/>
      </w:pPr>
      <w:r>
        <w:t>المرحلة 3: تحديد النص المدعى ناسخاً والمنسوخ. وتُحفظ بياناتها ومصادرها والقرائن المؤيدة والنافية، ولا يجوز تجاوزها بلا سبب مسجل.</w:t>
      </w:r>
    </w:p>
    <w:p>
      <w:pPr>
        <w:spacing w:line="283" w:lineRule="auto" w:after="80"/>
        <w:ind w:firstLine="397"/>
        <w:jc w:val="both"/>
        <w:bidi/>
      </w:pPr>
      <w:r>
        <w:t>المرحلة 4: جمع المدونة القرآنية الكاملة. وتُحفظ بياناتها ومصادرها والقرائن المؤيدة والنافية، ولا يجوز تجاوزها بلا سبب مسجل.</w:t>
      </w:r>
    </w:p>
    <w:p>
      <w:pPr>
        <w:spacing w:line="283" w:lineRule="auto" w:after="80"/>
        <w:ind w:firstLine="397"/>
        <w:jc w:val="both"/>
        <w:bidi/>
      </w:pPr>
      <w:r>
        <w:t>المرحلة 5: جمع روايات التاريخ وأسباب النزول. وتُحفظ بياناتها ومصادرها والقرائن المؤيدة والنافية، ولا يجوز تجاوزها بلا سبب مسجل.</w:t>
      </w:r>
    </w:p>
    <w:p>
      <w:pPr>
        <w:spacing w:line="283" w:lineRule="auto" w:after="80"/>
        <w:ind w:firstLine="397"/>
        <w:jc w:val="both"/>
        <w:bidi/>
      </w:pPr>
      <w:r>
        <w:t>المرحلة 6: تحقيق الأسانيد والمتون ذات الصلة. وتُحفظ بياناتها ومصادرها والقرائن المؤيدة والنافية، ولا يجوز تجاوزها بلا سبب مسجل.</w:t>
      </w:r>
    </w:p>
    <w:p>
      <w:pPr>
        <w:spacing w:line="283" w:lineRule="auto" w:after="80"/>
        <w:ind w:firstLine="397"/>
        <w:jc w:val="both"/>
        <w:bidi/>
      </w:pPr>
      <w:r>
        <w:t>المرحلة 7: تحديد المخاطب والمقام والوظيفة. وتُحفظ بياناتها ومصادرها والقرائن المؤيدة والنافية، ولا يجوز تجاوزها بلا سبب مسجل.</w:t>
      </w:r>
    </w:p>
    <w:p>
      <w:pPr>
        <w:spacing w:line="283" w:lineRule="auto" w:after="80"/>
        <w:ind w:firstLine="397"/>
        <w:jc w:val="both"/>
        <w:bidi/>
      </w:pPr>
      <w:r>
        <w:t>المرحلة 8: تحليل العموم والخصوص. وتُحفظ بياناتها ومصادرها والقرائن المؤيدة والنافية، ولا يجوز تجاوزها بلا سبب مسجل.</w:t>
      </w:r>
    </w:p>
    <w:p>
      <w:pPr>
        <w:spacing w:line="283" w:lineRule="auto" w:after="80"/>
        <w:ind w:firstLine="397"/>
        <w:jc w:val="both"/>
        <w:bidi/>
      </w:pPr>
      <w:r>
        <w:t>المرحلة 9: تحليل الإطلاق والتقييد. وتُحفظ بياناتها ومصادرها والقرائن المؤيدة والنافية، ولا يجوز تجاوزها بلا سبب مسجل.</w:t>
      </w:r>
    </w:p>
    <w:p>
      <w:pPr>
        <w:spacing w:line="283" w:lineRule="auto" w:after="80"/>
        <w:ind w:firstLine="397"/>
        <w:jc w:val="both"/>
        <w:bidi/>
      </w:pPr>
      <w:r>
        <w:t>المرحلة 10: تحليل الإجمال والتفصيل. وتُحفظ بياناتها ومصادرها والقرائن المؤيدة والنافية، ولا يجوز تجاوزها بلا سبب مسجل.</w:t>
      </w:r>
    </w:p>
    <w:p>
      <w:pPr>
        <w:spacing w:line="283" w:lineRule="auto" w:after="80"/>
        <w:ind w:firstLine="397"/>
        <w:jc w:val="both"/>
        <w:bidi/>
      </w:pPr>
      <w:r>
        <w:t>المرحلة 11: اختبار الجمع الموضوعي والسياقي. وتُحفظ بياناتها ومصادرها والقرائن المؤيدة والنافية، ولا يجوز تجاوزها بلا سبب مسجل.</w:t>
      </w:r>
    </w:p>
    <w:p>
      <w:pPr>
        <w:spacing w:line="283" w:lineRule="auto" w:after="80"/>
        <w:ind w:firstLine="397"/>
        <w:jc w:val="both"/>
        <w:bidi/>
      </w:pPr>
      <w:r>
        <w:t>المرحلة 12: اختبار التدرج. وتُحفظ بياناتها ومصادرها والقرائن المؤيدة والنافية، ولا يجوز تجاوزها بلا سبب مسجل.</w:t>
      </w:r>
    </w:p>
    <w:p>
      <w:pPr>
        <w:spacing w:line="283" w:lineRule="auto" w:after="80"/>
        <w:ind w:firstLine="397"/>
        <w:jc w:val="both"/>
        <w:bidi/>
      </w:pPr>
      <w:r>
        <w:t>المرحلة 13: اختبار الحكم المؤقت. وتُحفظ بياناتها ومصادرها والقرائن المؤيدة والنافية، ولا يجوز تجاوزها بلا سبب مسجل.</w:t>
      </w:r>
    </w:p>
    <w:p>
      <w:pPr>
        <w:spacing w:line="283" w:lineRule="auto" w:after="80"/>
        <w:ind w:firstLine="397"/>
        <w:jc w:val="both"/>
        <w:bidi/>
      </w:pPr>
      <w:r>
        <w:t>المرحلة 14: اختبار تغير المناط. وتُحفظ بياناتها ومصادرها والقرائن المؤيدة والنافية، ولا يجوز تجاوزها بلا سبب مسجل.</w:t>
      </w:r>
    </w:p>
    <w:p>
      <w:pPr>
        <w:spacing w:line="283" w:lineRule="auto" w:after="80"/>
        <w:ind w:firstLine="397"/>
        <w:jc w:val="both"/>
        <w:bidi/>
      </w:pPr>
      <w:r>
        <w:t>المرحلة 15: إثبات التاريخ ودرجة الثقة. وتُحفظ بياناتها ومصادرها والقرائن المؤيدة والنافية، ولا يجوز تجاوزها بلا سبب مسجل.</w:t>
      </w:r>
    </w:p>
    <w:p>
      <w:pPr>
        <w:spacing w:line="283" w:lineRule="auto" w:after="80"/>
        <w:ind w:firstLine="397"/>
        <w:jc w:val="both"/>
        <w:bidi/>
      </w:pPr>
      <w:r>
        <w:t>المرحلة 16: فحص دلالة الرفع الصريح أو الضمني. وتُحفظ بياناتها ومصادرها والقرائن المؤيدة والنافية، ولا يجوز تجاوزها بلا سبب مسجل.</w:t>
      </w:r>
    </w:p>
    <w:p>
      <w:pPr>
        <w:spacing w:line="283" w:lineRule="auto" w:after="80"/>
        <w:ind w:firstLine="397"/>
        <w:jc w:val="both"/>
        <w:bidi/>
      </w:pPr>
      <w:r>
        <w:t>المرحلة 17: بناء فرضية منافسة. وتُحفظ بياناتها ومصادرها والقرائن المؤيدة والنافية، ولا يجوز تجاوزها بلا سبب مسجل.</w:t>
      </w:r>
    </w:p>
    <w:p>
      <w:pPr>
        <w:spacing w:line="283" w:lineRule="auto" w:after="80"/>
        <w:ind w:firstLine="397"/>
        <w:jc w:val="both"/>
        <w:bidi/>
      </w:pPr>
      <w:r>
        <w:t>المرحلة 18: الترجيح أو التوقف. وتُحفظ بياناتها ومصادرها والقرائن المؤيدة والنافية، ولا يجوز تجاوزها بلا سبب مسجل.</w:t>
      </w:r>
    </w:p>
    <w:p>
      <w:pPr>
        <w:spacing w:line="283" w:lineRule="auto" w:after="80"/>
        <w:ind w:firstLine="397"/>
        <w:jc w:val="both"/>
        <w:bidi/>
      </w:pPr>
      <w:r>
        <w:t>المرحلة 19: صياغة الحكم متعدد الأبعاد. وتُحفظ بياناتها ومصادرها والقرائن المؤيدة والنافية، ولا يجوز تجاوزها بلا سبب مسجل.</w:t>
      </w:r>
    </w:p>
    <w:p>
      <w:pPr>
        <w:spacing w:line="283" w:lineRule="auto" w:after="80"/>
        <w:ind w:firstLine="397"/>
        <w:jc w:val="both"/>
        <w:bidi/>
      </w:pPr>
      <w:r>
        <w:t>المرحلة 20: المراجعة المستقلة والإصدار. وتُحفظ بياناتها ومصادرها والقرائن المؤيدة والنافية، ولا يجوز تجاوزها بلا سبب مسجل.</w:t>
      </w:r>
    </w:p>
    <w:p>
      <w:pPr>
        <w:pStyle w:val="Heading1"/>
        <w:spacing w:line="283" w:lineRule="auto" w:after="120"/>
        <w:jc w:val="right"/>
        <w:keepNext/>
        <w:bidi/>
      </w:pPr>
      <w:r>
        <w:t>المصفوفة الحاسوبية لدعاوى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c>
          <w:tcPr>
            <w:tcW w:type="dxa" w:w="3952"/>
            <w:vAlign w:val="center"/>
          </w:tcPr>
          <w:p>
            <w:pPr>
              <w:spacing w:line="283" w:lineRule="auto" w:after="0"/>
              <w:jc w:val="right"/>
              <w:bidi/>
            </w:pPr>
            <w:r>
              <w:rPr>
                <w:sz w:val="18"/>
              </w:rPr>
              <w:t>claim_id</w:t>
            </w:r>
          </w:p>
        </w:tc>
        <w:tc>
          <w:tcPr>
            <w:tcW w:type="dxa" w:w="3952"/>
            <w:vAlign w:val="center"/>
          </w:tcPr>
          <w:p>
            <w:pPr>
              <w:spacing w:line="283" w:lineRule="auto" w:after="0"/>
              <w:jc w:val="right"/>
              <w:bidi/>
            </w:pPr>
            <w:r>
              <w:rPr>
                <w:sz w:val="18"/>
              </w:rPr>
              <w:t>معرف دعوى النسخ</w:t>
            </w:r>
          </w:p>
        </w:tc>
      </w:tr>
      <w:tr>
        <w:tc>
          <w:tcPr>
            <w:tcW w:type="dxa" w:w="3952"/>
            <w:vAlign w:val="center"/>
          </w:tcPr>
          <w:p>
            <w:pPr>
              <w:spacing w:line="283" w:lineRule="auto" w:after="0"/>
              <w:jc w:val="right"/>
              <w:bidi/>
            </w:pPr>
            <w:r>
              <w:rPr>
                <w:sz w:val="18"/>
              </w:rPr>
              <w:t>earlier_text</w:t>
            </w:r>
          </w:p>
        </w:tc>
        <w:tc>
          <w:tcPr>
            <w:tcW w:type="dxa" w:w="3952"/>
            <w:vAlign w:val="center"/>
          </w:tcPr>
          <w:p>
            <w:pPr>
              <w:spacing w:line="283" w:lineRule="auto" w:after="0"/>
              <w:jc w:val="right"/>
              <w:bidi/>
            </w:pPr>
            <w:r>
              <w:rPr>
                <w:sz w:val="18"/>
              </w:rPr>
              <w:t>النص السابق</w:t>
            </w:r>
          </w:p>
        </w:tc>
      </w:tr>
      <w:tr>
        <w:tc>
          <w:tcPr>
            <w:tcW w:type="dxa" w:w="3952"/>
            <w:vAlign w:val="center"/>
          </w:tcPr>
          <w:p>
            <w:pPr>
              <w:spacing w:line="283" w:lineRule="auto" w:after="0"/>
              <w:jc w:val="right"/>
              <w:bidi/>
            </w:pPr>
            <w:r>
              <w:rPr>
                <w:sz w:val="18"/>
              </w:rPr>
              <w:t>later_text</w:t>
            </w:r>
          </w:p>
        </w:tc>
        <w:tc>
          <w:tcPr>
            <w:tcW w:type="dxa" w:w="3952"/>
            <w:vAlign w:val="center"/>
          </w:tcPr>
          <w:p>
            <w:pPr>
              <w:spacing w:line="283" w:lineRule="auto" w:after="0"/>
              <w:jc w:val="right"/>
              <w:bidi/>
            </w:pPr>
            <w:r>
              <w:rPr>
                <w:sz w:val="18"/>
              </w:rPr>
              <w:t>النص اللاحق</w:t>
            </w:r>
          </w:p>
        </w:tc>
      </w:tr>
      <w:tr>
        <w:tc>
          <w:tcPr>
            <w:tcW w:type="dxa" w:w="3952"/>
            <w:vAlign w:val="center"/>
          </w:tcPr>
          <w:p>
            <w:pPr>
              <w:spacing w:line="283" w:lineRule="auto" w:after="0"/>
              <w:jc w:val="right"/>
              <w:bidi/>
            </w:pPr>
            <w:r>
              <w:rPr>
                <w:sz w:val="18"/>
              </w:rPr>
              <w:t>earlier_ruling</w:t>
            </w:r>
          </w:p>
        </w:tc>
        <w:tc>
          <w:tcPr>
            <w:tcW w:type="dxa" w:w="3952"/>
            <w:vAlign w:val="center"/>
          </w:tcPr>
          <w:p>
            <w:pPr>
              <w:spacing w:line="283" w:lineRule="auto" w:after="0"/>
              <w:jc w:val="right"/>
              <w:bidi/>
            </w:pPr>
            <w:r>
              <w:rPr>
                <w:sz w:val="18"/>
              </w:rPr>
              <w:t>الحكم المدعى رفعه</w:t>
            </w:r>
          </w:p>
        </w:tc>
      </w:tr>
      <w:tr>
        <w:tc>
          <w:tcPr>
            <w:tcW w:type="dxa" w:w="3952"/>
            <w:vAlign w:val="center"/>
          </w:tcPr>
          <w:p>
            <w:pPr>
              <w:spacing w:line="283" w:lineRule="auto" w:after="0"/>
              <w:jc w:val="right"/>
              <w:bidi/>
            </w:pPr>
            <w:r>
              <w:rPr>
                <w:sz w:val="18"/>
              </w:rPr>
              <w:t>later_ruling</w:t>
            </w:r>
          </w:p>
        </w:tc>
        <w:tc>
          <w:tcPr>
            <w:tcW w:type="dxa" w:w="3952"/>
            <w:vAlign w:val="center"/>
          </w:tcPr>
          <w:p>
            <w:pPr>
              <w:spacing w:line="283" w:lineRule="auto" w:after="0"/>
              <w:jc w:val="right"/>
              <w:bidi/>
            </w:pPr>
            <w:r>
              <w:rPr>
                <w:sz w:val="18"/>
              </w:rPr>
              <w:t>الحكم اللاحق</w:t>
            </w:r>
          </w:p>
        </w:tc>
      </w:tr>
      <w:tr>
        <w:tc>
          <w:tcPr>
            <w:tcW w:type="dxa" w:w="3952"/>
            <w:vAlign w:val="center"/>
          </w:tcPr>
          <w:p>
            <w:pPr>
              <w:spacing w:line="283" w:lineRule="auto" w:after="0"/>
              <w:jc w:val="right"/>
              <w:bidi/>
            </w:pPr>
            <w:r>
              <w:rPr>
                <w:sz w:val="18"/>
              </w:rPr>
              <w:t>chronology_source</w:t>
            </w:r>
          </w:p>
        </w:tc>
        <w:tc>
          <w:tcPr>
            <w:tcW w:type="dxa" w:w="3952"/>
            <w:vAlign w:val="center"/>
          </w:tcPr>
          <w:p>
            <w:pPr>
              <w:spacing w:line="283" w:lineRule="auto" w:after="0"/>
              <w:jc w:val="right"/>
              <w:bidi/>
            </w:pPr>
            <w:r>
              <w:rPr>
                <w:sz w:val="18"/>
              </w:rPr>
              <w:t>مصدر التاريخ</w:t>
            </w:r>
          </w:p>
        </w:tc>
      </w:tr>
      <w:tr>
        <w:tc>
          <w:tcPr>
            <w:tcW w:type="dxa" w:w="3952"/>
            <w:vAlign w:val="center"/>
          </w:tcPr>
          <w:p>
            <w:pPr>
              <w:spacing w:line="283" w:lineRule="auto" w:after="0"/>
              <w:jc w:val="right"/>
              <w:bidi/>
            </w:pPr>
            <w:r>
              <w:rPr>
                <w:sz w:val="18"/>
              </w:rPr>
              <w:t>chronology_confidence</w:t>
            </w:r>
          </w:p>
        </w:tc>
        <w:tc>
          <w:tcPr>
            <w:tcW w:type="dxa" w:w="3952"/>
            <w:vAlign w:val="center"/>
          </w:tcPr>
          <w:p>
            <w:pPr>
              <w:spacing w:line="283" w:lineRule="auto" w:after="0"/>
              <w:jc w:val="right"/>
              <w:bidi/>
            </w:pPr>
            <w:r>
              <w:rPr>
                <w:sz w:val="18"/>
              </w:rPr>
              <w:t>درجة الثقة الزمنية</w:t>
            </w:r>
          </w:p>
        </w:tc>
      </w:tr>
      <w:tr>
        <w:tc>
          <w:tcPr>
            <w:tcW w:type="dxa" w:w="3952"/>
            <w:vAlign w:val="center"/>
          </w:tcPr>
          <w:p>
            <w:pPr>
              <w:spacing w:line="283" w:lineRule="auto" w:after="0"/>
              <w:jc w:val="right"/>
              <w:bidi/>
            </w:pPr>
            <w:r>
              <w:rPr>
                <w:sz w:val="18"/>
              </w:rPr>
              <w:t>audience</w:t>
            </w:r>
          </w:p>
        </w:tc>
        <w:tc>
          <w:tcPr>
            <w:tcW w:type="dxa" w:w="3952"/>
            <w:vAlign w:val="center"/>
          </w:tcPr>
          <w:p>
            <w:pPr>
              <w:spacing w:line="283" w:lineRule="auto" w:after="0"/>
              <w:jc w:val="right"/>
              <w:bidi/>
            </w:pPr>
            <w:r>
              <w:rPr>
                <w:sz w:val="18"/>
              </w:rPr>
              <w:t>المخاطب</w:t>
            </w:r>
          </w:p>
        </w:tc>
      </w:tr>
      <w:tr>
        <w:tc>
          <w:tcPr>
            <w:tcW w:type="dxa" w:w="3952"/>
            <w:vAlign w:val="center"/>
          </w:tcPr>
          <w:p>
            <w:pPr>
              <w:spacing w:line="283" w:lineRule="auto" w:after="0"/>
              <w:jc w:val="right"/>
              <w:bidi/>
            </w:pPr>
            <w:r>
              <w:rPr>
                <w:sz w:val="18"/>
              </w:rPr>
              <w:t>context</w:t>
            </w:r>
          </w:p>
        </w:tc>
        <w:tc>
          <w:tcPr>
            <w:tcW w:type="dxa" w:w="3952"/>
            <w:vAlign w:val="center"/>
          </w:tcPr>
          <w:p>
            <w:pPr>
              <w:spacing w:line="283" w:lineRule="auto" w:after="0"/>
              <w:jc w:val="right"/>
              <w:bidi/>
            </w:pPr>
            <w:r>
              <w:rPr>
                <w:sz w:val="18"/>
              </w:rPr>
              <w:t>المقام والسياق</w:t>
            </w:r>
          </w:p>
        </w:tc>
      </w:tr>
      <w:t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مجال الحكم</w:t>
            </w:r>
          </w:p>
        </w:tc>
      </w:tr>
      <w:tr>
        <w:tc>
          <w:tcPr>
            <w:tcW w:type="dxa" w:w="3952"/>
            <w:vAlign w:val="center"/>
          </w:tcPr>
          <w:p>
            <w:pPr>
              <w:spacing w:line="283" w:lineRule="auto" w:after="0"/>
              <w:jc w:val="right"/>
              <w:bidi/>
            </w:pPr>
            <w:r>
              <w:rPr>
                <w:sz w:val="18"/>
              </w:rPr>
              <w:t>relation_type</w:t>
            </w:r>
          </w:p>
        </w:tc>
        <w:tc>
          <w:tcPr>
            <w:tcW w:type="dxa" w:w="3952"/>
            <w:vAlign w:val="center"/>
          </w:tcPr>
          <w:p>
            <w:pPr>
              <w:spacing w:line="283" w:lineRule="auto" w:after="0"/>
              <w:jc w:val="right"/>
              <w:bidi/>
            </w:pPr>
            <w:r>
              <w:rPr>
                <w:sz w:val="18"/>
              </w:rPr>
              <w:t>نسخ أو تخصيص أو تقييد أو تدرج أو غيره</w:t>
            </w:r>
          </w:p>
        </w:tc>
      </w:tr>
      <w:tr>
        <w:tc>
          <w:tcPr>
            <w:tcW w:type="dxa" w:w="3952"/>
            <w:vAlign w:val="center"/>
          </w:tcPr>
          <w:p>
            <w:pPr>
              <w:spacing w:line="283" w:lineRule="auto" w:after="0"/>
              <w:jc w:val="right"/>
              <w:bidi/>
            </w:pPr>
            <w:r>
              <w:rPr>
                <w:sz w:val="18"/>
              </w:rPr>
              <w:t>reconciliation_options</w:t>
            </w:r>
          </w:p>
        </w:tc>
        <w:tc>
          <w:tcPr>
            <w:tcW w:type="dxa" w:w="3952"/>
            <w:vAlign w:val="center"/>
          </w:tcPr>
          <w:p>
            <w:pPr>
              <w:spacing w:line="283" w:lineRule="auto" w:after="0"/>
              <w:jc w:val="right"/>
              <w:bidi/>
            </w:pPr>
            <w:r>
              <w:rPr>
                <w:sz w:val="18"/>
              </w:rPr>
              <w:t>بدائل الجمع</w:t>
            </w:r>
          </w:p>
        </w:tc>
      </w:tr>
      <w:tr>
        <w:tc>
          <w:tcPr>
            <w:tcW w:type="dxa" w:w="3952"/>
            <w:vAlign w:val="center"/>
          </w:tcPr>
          <w:p>
            <w:pPr>
              <w:spacing w:line="283" w:lineRule="auto" w:after="0"/>
              <w:jc w:val="right"/>
              <w:bidi/>
            </w:pPr>
            <w:r>
              <w:rPr>
                <w:sz w:val="18"/>
              </w:rPr>
              <w:t>counter_evidence</w:t>
            </w:r>
          </w:p>
        </w:tc>
        <w:tc>
          <w:tcPr>
            <w:tcW w:type="dxa" w:w="3952"/>
            <w:vAlign w:val="center"/>
          </w:tcPr>
          <w:p>
            <w:pPr>
              <w:spacing w:line="283" w:lineRule="auto" w:after="0"/>
              <w:jc w:val="right"/>
              <w:bidi/>
            </w:pPr>
            <w:r>
              <w:rPr>
                <w:sz w:val="18"/>
              </w:rPr>
              <w:t>القرائن النافية</w:t>
            </w:r>
          </w:p>
        </w:tc>
      </w:tr>
      <w:tr>
        <w:tc>
          <w:tcPr>
            <w:tcW w:type="dxa" w:w="3952"/>
            <w:vAlign w:val="center"/>
          </w:tcPr>
          <w:p>
            <w:pPr>
              <w:spacing w:line="283" w:lineRule="auto" w:after="0"/>
              <w:jc w:val="right"/>
              <w:bidi/>
            </w:pPr>
            <w:r>
              <w:rPr>
                <w:sz w:val="18"/>
              </w:rPr>
              <w:t>hadith_evidence</w:t>
            </w:r>
          </w:p>
        </w:tc>
        <w:tc>
          <w:tcPr>
            <w:tcW w:type="dxa" w:w="3952"/>
            <w:vAlign w:val="center"/>
          </w:tcPr>
          <w:p>
            <w:pPr>
              <w:spacing w:line="283" w:lineRule="auto" w:after="0"/>
              <w:jc w:val="right"/>
              <w:bidi/>
            </w:pPr>
            <w:r>
              <w:rPr>
                <w:sz w:val="18"/>
              </w:rPr>
              <w:t>الروايات ذات الصلة</w:t>
            </w:r>
          </w:p>
        </w:tc>
      </w:tr>
      <w:tr>
        <w:tc>
          <w:tcPr>
            <w:tcW w:type="dxa" w:w="3952"/>
            <w:vAlign w:val="center"/>
          </w:tcPr>
          <w:p>
            <w:pPr>
              <w:spacing w:line="283" w:lineRule="auto" w:after="0"/>
              <w:jc w:val="right"/>
              <w:bidi/>
            </w:pPr>
            <w:r>
              <w:rPr>
                <w:sz w:val="18"/>
              </w:rPr>
              <w:t>quran_network</w:t>
            </w:r>
          </w:p>
        </w:tc>
        <w:tc>
          <w:tcPr>
            <w:tcW w:type="dxa" w:w="3952"/>
            <w:vAlign w:val="center"/>
          </w:tcPr>
          <w:p>
            <w:pPr>
              <w:spacing w:line="283" w:lineRule="auto" w:after="0"/>
              <w:jc w:val="right"/>
              <w:bidi/>
            </w:pPr>
            <w:r>
              <w:rPr>
                <w:sz w:val="18"/>
              </w:rPr>
              <w:t>الآيات الحاكمة والمقيدة</w:t>
            </w:r>
          </w:p>
        </w:tc>
      </w:tr>
      <w:tr>
        <w:tc>
          <w:tcPr>
            <w:tcW w:type="dxa" w:w="3952"/>
            <w:vAlign w:val="center"/>
          </w:tcPr>
          <w:p>
            <w:pPr>
              <w:spacing w:line="283" w:lineRule="auto" w:after="0"/>
              <w:jc w:val="right"/>
              <w:bidi/>
            </w:pPr>
            <w:r>
              <w:rPr>
                <w:sz w:val="18"/>
              </w:rPr>
              <w:t>assessment</w:t>
            </w:r>
          </w:p>
        </w:tc>
        <w:tc>
          <w:tcPr>
            <w:tcW w:type="dxa" w:w="3952"/>
            <w:vAlign w:val="center"/>
          </w:tcPr>
          <w:p>
            <w:pPr>
              <w:spacing w:line="283" w:lineRule="auto" w:after="0"/>
              <w:jc w:val="right"/>
              <w:bidi/>
            </w:pPr>
            <w:r>
              <w:rPr>
                <w:sz w:val="18"/>
              </w:rPr>
              <w:t>الحكم</w:t>
            </w:r>
          </w:p>
        </w:tc>
      </w:tr>
      <w:t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w:t>
            </w:r>
          </w:p>
        </w:tc>
      </w:tr>
    </w:tbl>
    <w:p>
      <w:pPr>
        <w:spacing w:after="20"/>
      </w:pPr>
    </w:p>
    <w:p>
      <w:pPr>
        <w:spacing w:line="283" w:lineRule="auto" w:after="80"/>
        <w:ind w:firstLine="397"/>
        <w:jc w:val="both"/>
        <w:bidi/>
      </w:pPr>
      <w:r>
        <w:t>claim_id: معرف دعوى النسخ ويجب أن يُملأ بالدليل لا بالانطباع، وأن يبقى قابلاً لإعادة الفحص عند تغير التاريخ أو فهم المجال.</w:t>
      </w:r>
    </w:p>
    <w:p>
      <w:pPr>
        <w:spacing w:line="283" w:lineRule="auto" w:after="80"/>
        <w:ind w:firstLine="397"/>
        <w:jc w:val="both"/>
        <w:bidi/>
      </w:pPr>
      <w:r>
        <w:t>earlier_text: النص السابق ويجب أن يُملأ بالدليل لا بالانطباع، وأن يبقى قابلاً لإعادة الفحص عند تغير التاريخ أو فهم المجال.</w:t>
      </w:r>
    </w:p>
    <w:p>
      <w:pPr>
        <w:spacing w:line="283" w:lineRule="auto" w:after="80"/>
        <w:ind w:firstLine="397"/>
        <w:jc w:val="both"/>
        <w:bidi/>
      </w:pPr>
      <w:r>
        <w:t>later_text: النص اللاحق ويجب أن يُملأ بالدليل لا بالانطباع، وأن يبقى قابلاً لإعادة الفحص عند تغير التاريخ أو فهم المجال.</w:t>
      </w:r>
    </w:p>
    <w:p>
      <w:pPr>
        <w:spacing w:line="283" w:lineRule="auto" w:after="80"/>
        <w:ind w:firstLine="397"/>
        <w:jc w:val="both"/>
        <w:bidi/>
      </w:pPr>
      <w:r>
        <w:t>earlier_ruling: الحكم المدعى رفعه ويجب أن يُملأ بالدليل لا بالانطباع، وأن يبقى قابلاً لإعادة الفحص عند تغير التاريخ أو فهم المجال.</w:t>
      </w:r>
    </w:p>
    <w:p>
      <w:pPr>
        <w:spacing w:line="283" w:lineRule="auto" w:after="80"/>
        <w:ind w:firstLine="397"/>
        <w:jc w:val="both"/>
        <w:bidi/>
      </w:pPr>
      <w:r>
        <w:t>later_ruling: الحكم اللاحق ويجب أن يُملأ بالدليل لا بالانطباع، وأن يبقى قابلاً لإعادة الفحص عند تغير التاريخ أو فهم المجال.</w:t>
      </w:r>
    </w:p>
    <w:p>
      <w:pPr>
        <w:spacing w:line="283" w:lineRule="auto" w:after="80"/>
        <w:ind w:firstLine="397"/>
        <w:jc w:val="both"/>
        <w:bidi/>
      </w:pPr>
      <w:r>
        <w:t>chronology_source: مصدر التاريخ ويجب أن يُملأ بالدليل لا بالانطباع، وأن يبقى قابلاً لإعادة الفحص عند تغير التاريخ أو فهم المجال.</w:t>
      </w:r>
    </w:p>
    <w:p>
      <w:pPr>
        <w:spacing w:line="283" w:lineRule="auto" w:after="80"/>
        <w:ind w:firstLine="397"/>
        <w:jc w:val="both"/>
        <w:bidi/>
      </w:pPr>
      <w:r>
        <w:t>chronology_confidence: درجة الثقة الزمنية ويجب أن يُملأ بالدليل لا بالانطباع، وأن يبقى قابلاً لإعادة الفحص عند تغير التاريخ أو فهم المجال.</w:t>
      </w:r>
    </w:p>
    <w:p>
      <w:pPr>
        <w:spacing w:line="283" w:lineRule="auto" w:after="80"/>
        <w:ind w:firstLine="397"/>
        <w:jc w:val="both"/>
        <w:bidi/>
      </w:pPr>
      <w:r>
        <w:t>audience: المخاطب ويجب أن يُملأ بالدليل لا بالانطباع، وأن يبقى قابلاً لإعادة الفحص عند تغير التاريخ أو فهم المجال.</w:t>
      </w:r>
    </w:p>
    <w:p>
      <w:pPr>
        <w:spacing w:line="283" w:lineRule="auto" w:after="80"/>
        <w:ind w:firstLine="397"/>
        <w:jc w:val="both"/>
        <w:bidi/>
      </w:pPr>
      <w:r>
        <w:t>context: المقام والسياق ويجب أن يُملأ بالدليل لا بالانطباع، وأن يبقى قابلاً لإعادة الفحص عند تغير التاريخ أو فهم المجال.</w:t>
      </w:r>
    </w:p>
    <w:p>
      <w:pPr>
        <w:spacing w:line="283" w:lineRule="auto" w:after="80"/>
        <w:ind w:firstLine="397"/>
        <w:jc w:val="both"/>
        <w:bidi/>
      </w:pPr>
      <w:r>
        <w:t>scope: مجال الحكم ويجب أن يُملأ بالدليل لا بالانطباع، وأن يبقى قابلاً لإعادة الفحص عند تغير التاريخ أو فهم المجال.</w:t>
      </w:r>
    </w:p>
    <w:p>
      <w:pPr>
        <w:spacing w:line="283" w:lineRule="auto" w:after="80"/>
        <w:ind w:firstLine="397"/>
        <w:jc w:val="both"/>
        <w:bidi/>
      </w:pPr>
      <w:r>
        <w:t>relation_type: نسخ أو تخصيص أو تقييد أو تدرج أو غيره ويجب أن يُملأ بالدليل لا بالانطباع، وأن يبقى قابلاً لإعادة الفحص عند تغير التاريخ أو فهم المجال.</w:t>
      </w:r>
    </w:p>
    <w:p>
      <w:pPr>
        <w:spacing w:line="283" w:lineRule="auto" w:after="80"/>
        <w:ind w:firstLine="397"/>
        <w:jc w:val="both"/>
        <w:bidi/>
      </w:pPr>
      <w:r>
        <w:t>reconciliation_options: بدائل الجمع ويجب أن يُملأ بالدليل لا بالانطباع، وأن يبقى قابلاً لإعادة الفحص عند تغير التاريخ أو فهم المجال.</w:t>
      </w:r>
    </w:p>
    <w:p>
      <w:pPr>
        <w:spacing w:line="283" w:lineRule="auto" w:after="80"/>
        <w:ind w:firstLine="397"/>
        <w:jc w:val="both"/>
        <w:bidi/>
      </w:pPr>
      <w:r>
        <w:t>counter_evidence: القرائن النافية ويجب أن يُملأ بالدليل لا بالانطباع، وأن يبقى قابلاً لإعادة الفحص عند تغير التاريخ أو فهم المجال.</w:t>
      </w:r>
    </w:p>
    <w:p>
      <w:pPr>
        <w:spacing w:line="283" w:lineRule="auto" w:after="80"/>
        <w:ind w:firstLine="397"/>
        <w:jc w:val="both"/>
        <w:bidi/>
      </w:pPr>
      <w:r>
        <w:t>hadith_evidence: الروايات ذات الصلة ويجب أن يُملأ بالدليل لا بالانطباع، وأن يبقى قابلاً لإعادة الفحص عند تغير التاريخ أو فهم المجال.</w:t>
      </w:r>
    </w:p>
    <w:p>
      <w:pPr>
        <w:spacing w:line="283" w:lineRule="auto" w:after="80"/>
        <w:ind w:firstLine="397"/>
        <w:jc w:val="both"/>
        <w:bidi/>
      </w:pPr>
      <w:r>
        <w:t>quran_network: الآيات الحاكمة والمقيدة ويجب أن يُملأ بالدليل لا بالانطباع، وأن يبقى قابلاً لإعادة الفحص عند تغير التاريخ أو فهم المجال.</w:t>
      </w:r>
    </w:p>
    <w:p>
      <w:pPr>
        <w:spacing w:line="283" w:lineRule="auto" w:after="80"/>
        <w:ind w:firstLine="397"/>
        <w:jc w:val="both"/>
        <w:bidi/>
      </w:pPr>
      <w:r>
        <w:t>assessment: الحكم ويجب أن يُملأ بالدليل لا بالانطباع، وأن يبقى قابلاً لإعادة الفحص عند تغير التاريخ أو فهم المجال.</w:t>
      </w:r>
    </w:p>
    <w:p>
      <w:pPr>
        <w:spacing w:line="283" w:lineRule="auto" w:after="80"/>
        <w:ind w:firstLine="397"/>
        <w:jc w:val="both"/>
        <w:bidi/>
      </w:pPr>
      <w:r>
        <w:t>reviewer: المراجع ويجب أن يُملأ بالدليل لا بالانطباع، وأن يبقى قابلاً لإعادة الفحص عند تغير التاريخ أو فهم المجال.</w:t>
      </w:r>
    </w:p>
    <w:p>
      <w:pPr>
        <w:spacing w:line="283" w:lineRule="auto" w:after="80"/>
        <w:ind w:firstLine="397"/>
        <w:jc w:val="both"/>
        <w:bidi/>
      </w:pPr>
      <w:r>
        <w:t>version: الإصدار ويجب أن يُملأ بالدليل لا بالانطباع، وأن يبقى قابلاً لإعادة الفحص عند تغير التاريخ أو فهم المجال.</w:t>
      </w:r>
    </w:p>
    <w:p>
      <w:r>
        <w:br w:type="page"/>
      </w:r>
    </w:p>
    <w:p>
      <w:pPr>
        <w:pStyle w:val="Heading1"/>
        <w:spacing w:line="283" w:lineRule="auto" w:after="120"/>
        <w:jc w:val="right"/>
        <w:keepNext/>
        <w:bidi/>
      </w:pPr>
      <w:r>
        <w:t>مراجعة مدارس النسخ في التراث والتفسير الحديث</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الاتجاه</w:t>
            </w:r>
          </w:p>
        </w:tc>
        <w:tc>
          <w:tcPr>
            <w:tcW w:type="dxa" w:w="3952"/>
            <w:vAlign w:val="center"/>
          </w:tcPr>
          <w:p>
            <w:pPr>
              <w:spacing w:line="283" w:lineRule="auto" w:after="0"/>
              <w:jc w:val="center"/>
              <w:bidi/>
            </w:pPr>
            <w:r>
              <w:rPr>
                <w:b/>
                <w:sz w:val="18"/>
              </w:rPr>
              <w:t>الملاحظة النقدية</w:t>
            </w:r>
          </w:p>
        </w:tc>
      </w:tr>
      <w:tr>
        <w:tc>
          <w:tcPr>
            <w:tcW w:type="dxa" w:w="3952"/>
            <w:vAlign w:val="center"/>
          </w:tcPr>
          <w:p>
            <w:pPr>
              <w:spacing w:line="283" w:lineRule="auto" w:after="0"/>
              <w:jc w:val="right"/>
              <w:bidi/>
            </w:pPr>
            <w:r>
              <w:rPr>
                <w:sz w:val="18"/>
              </w:rPr>
              <w:t>الاستعمال المبكر الواسع</w:t>
            </w:r>
          </w:p>
        </w:tc>
        <w:tc>
          <w:tcPr>
            <w:tcW w:type="dxa" w:w="3952"/>
            <w:vAlign w:val="center"/>
          </w:tcPr>
          <w:p>
            <w:pPr>
              <w:spacing w:line="283" w:lineRule="auto" w:after="0"/>
              <w:jc w:val="right"/>
              <w:bidi/>
            </w:pPr>
            <w:r>
              <w:rPr>
                <w:sz w:val="18"/>
              </w:rPr>
              <w:t>استعمال النسخ أحياناً في البيان والتخصيص والتغيير، مما يستلزم الحذر عند نقل قوائم المتقدمين إلى الاصطلاح المتأخر.</w:t>
            </w:r>
          </w:p>
        </w:tc>
      </w:tr>
      <w:tr>
        <w:tc>
          <w:tcPr>
            <w:tcW w:type="dxa" w:w="3952"/>
            <w:vAlign w:val="center"/>
          </w:tcPr>
          <w:p>
            <w:pPr>
              <w:spacing w:line="283" w:lineRule="auto" w:after="0"/>
              <w:jc w:val="right"/>
              <w:bidi/>
            </w:pPr>
            <w:r>
              <w:rPr>
                <w:sz w:val="18"/>
              </w:rPr>
              <w:t>الأصوليون الموسعون</w:t>
            </w:r>
          </w:p>
        </w:tc>
        <w:tc>
          <w:tcPr>
            <w:tcW w:type="dxa" w:w="3952"/>
            <w:vAlign w:val="center"/>
          </w:tcPr>
          <w:p>
            <w:pPr>
              <w:spacing w:line="283" w:lineRule="auto" w:after="0"/>
              <w:jc w:val="right"/>
              <w:bidi/>
            </w:pPr>
            <w:r>
              <w:rPr>
                <w:sz w:val="18"/>
              </w:rPr>
              <w:t>أثبت بعضهم نسخاً في مواضع كثيرة اعتماداً على التعارض الظاهري والترتيب.</w:t>
            </w:r>
          </w:p>
        </w:tc>
      </w:tr>
      <w:tr>
        <w:tc>
          <w:tcPr>
            <w:tcW w:type="dxa" w:w="3952"/>
            <w:vAlign w:val="center"/>
          </w:tcPr>
          <w:p>
            <w:pPr>
              <w:spacing w:line="283" w:lineRule="auto" w:after="0"/>
              <w:jc w:val="right"/>
              <w:bidi/>
            </w:pPr>
            <w:r>
              <w:rPr>
                <w:sz w:val="18"/>
              </w:rPr>
              <w:t>الأصوليون المضيقون</w:t>
            </w:r>
          </w:p>
        </w:tc>
        <w:tc>
          <w:tcPr>
            <w:tcW w:type="dxa" w:w="3952"/>
            <w:vAlign w:val="center"/>
          </w:tcPr>
          <w:p>
            <w:pPr>
              <w:spacing w:line="283" w:lineRule="auto" w:after="0"/>
              <w:jc w:val="right"/>
              <w:bidi/>
            </w:pPr>
            <w:r>
              <w:rPr>
                <w:sz w:val="18"/>
              </w:rPr>
              <w:t>قيدوا النسخ بشروط أشد ووسعوا إمكان الجمع والتخصيص.</w:t>
            </w:r>
          </w:p>
        </w:tc>
      </w:tr>
      <w:tr>
        <w:tc>
          <w:tcPr>
            <w:tcW w:type="dxa" w:w="3952"/>
            <w:vAlign w:val="center"/>
          </w:tcPr>
          <w:p>
            <w:pPr>
              <w:spacing w:line="283" w:lineRule="auto" w:after="0"/>
              <w:jc w:val="right"/>
              <w:bidi/>
            </w:pPr>
            <w:r>
              <w:rPr>
                <w:sz w:val="18"/>
              </w:rPr>
              <w:t>المفسرون بالمأثور</w:t>
            </w:r>
          </w:p>
        </w:tc>
        <w:tc>
          <w:tcPr>
            <w:tcW w:type="dxa" w:w="3952"/>
            <w:vAlign w:val="center"/>
          </w:tcPr>
          <w:p>
            <w:pPr>
              <w:spacing w:line="283" w:lineRule="auto" w:after="0"/>
              <w:jc w:val="right"/>
              <w:bidi/>
            </w:pPr>
            <w:r>
              <w:rPr>
                <w:sz w:val="18"/>
              </w:rPr>
              <w:t>اعتمدوا روايات الصحابة والتابعين في تعيين الناسخ والمنسوخ مع تفاوت الأسانيد والاستعمالات.</w:t>
            </w:r>
          </w:p>
        </w:tc>
      </w:tr>
      <w:tr>
        <w:tc>
          <w:tcPr>
            <w:tcW w:type="dxa" w:w="3952"/>
            <w:vAlign w:val="center"/>
          </w:tcPr>
          <w:p>
            <w:pPr>
              <w:spacing w:line="283" w:lineRule="auto" w:after="0"/>
              <w:jc w:val="right"/>
              <w:bidi/>
            </w:pPr>
            <w:r>
              <w:rPr>
                <w:sz w:val="18"/>
              </w:rPr>
              <w:t>الفقهاء</w:t>
            </w:r>
          </w:p>
        </w:tc>
        <w:tc>
          <w:tcPr>
            <w:tcW w:type="dxa" w:w="3952"/>
            <w:vAlign w:val="center"/>
          </w:tcPr>
          <w:p>
            <w:pPr>
              <w:spacing w:line="283" w:lineRule="auto" w:after="0"/>
              <w:jc w:val="right"/>
              <w:bidi/>
            </w:pPr>
            <w:r>
              <w:rPr>
                <w:sz w:val="18"/>
              </w:rPr>
              <w:t>وظفوا النسخ لحل تعارض الأدلة في أبواب الأحكام، مع اختلاف المذاهب في الشروط.</w:t>
            </w:r>
          </w:p>
        </w:tc>
      </w:tr>
      <w:tr>
        <w:tc>
          <w:tcPr>
            <w:tcW w:type="dxa" w:w="3952"/>
            <w:vAlign w:val="center"/>
          </w:tcPr>
          <w:p>
            <w:pPr>
              <w:spacing w:line="283" w:lineRule="auto" w:after="0"/>
              <w:jc w:val="right"/>
              <w:bidi/>
            </w:pPr>
            <w:r>
              <w:rPr>
                <w:sz w:val="18"/>
              </w:rPr>
              <w:t>الإمامية</w:t>
            </w:r>
          </w:p>
        </w:tc>
        <w:tc>
          <w:tcPr>
            <w:tcW w:type="dxa" w:w="3952"/>
            <w:vAlign w:val="center"/>
          </w:tcPr>
          <w:p>
            <w:pPr>
              <w:spacing w:line="283" w:lineRule="auto" w:after="0"/>
              <w:jc w:val="right"/>
              <w:bidi/>
            </w:pPr>
            <w:r>
              <w:rPr>
                <w:sz w:val="18"/>
              </w:rPr>
              <w:t>ناقشت النسخ ضمن حاكمية القرآن والأخبار وتاريخ التشريع، مع خصوصية في حجية الروايات.</w:t>
            </w:r>
          </w:p>
        </w:tc>
      </w:tr>
      <w:tr>
        <w:tc>
          <w:tcPr>
            <w:tcW w:type="dxa" w:w="3952"/>
            <w:vAlign w:val="center"/>
          </w:tcPr>
          <w:p>
            <w:pPr>
              <w:spacing w:line="283" w:lineRule="auto" w:after="0"/>
              <w:jc w:val="right"/>
              <w:bidi/>
            </w:pPr>
            <w:r>
              <w:rPr>
                <w:sz w:val="18"/>
              </w:rPr>
              <w:t>المعتزلة والمتكلمون</w:t>
            </w:r>
          </w:p>
        </w:tc>
        <w:tc>
          <w:tcPr>
            <w:tcW w:type="dxa" w:w="3952"/>
            <w:vAlign w:val="center"/>
          </w:tcPr>
          <w:p>
            <w:pPr>
              <w:spacing w:line="283" w:lineRule="auto" w:after="0"/>
              <w:jc w:val="right"/>
              <w:bidi/>
            </w:pPr>
            <w:r>
              <w:rPr>
                <w:sz w:val="18"/>
              </w:rPr>
              <w:t>ربطوا النسخ بالحكمة والتكليف والبداء وتنزيه العلم الإلهي.</w:t>
            </w:r>
          </w:p>
        </w:tc>
      </w:tr>
      <w:tr>
        <w:tc>
          <w:tcPr>
            <w:tcW w:type="dxa" w:w="3952"/>
            <w:vAlign w:val="center"/>
          </w:tcPr>
          <w:p>
            <w:pPr>
              <w:spacing w:line="283" w:lineRule="auto" w:after="0"/>
              <w:jc w:val="right"/>
              <w:bidi/>
            </w:pPr>
            <w:r>
              <w:rPr>
                <w:sz w:val="18"/>
              </w:rPr>
              <w:t>المدرسة الإصلاحية الحديثة</w:t>
            </w:r>
          </w:p>
        </w:tc>
        <w:tc>
          <w:tcPr>
            <w:tcW w:type="dxa" w:w="3952"/>
            <w:vAlign w:val="center"/>
          </w:tcPr>
          <w:p>
            <w:pPr>
              <w:spacing w:line="283" w:lineRule="auto" w:after="0"/>
              <w:jc w:val="right"/>
              <w:bidi/>
            </w:pPr>
            <w:r>
              <w:rPr>
                <w:sz w:val="18"/>
              </w:rPr>
              <w:t>ضيقت كثيراً من دعاوى النسخ وأعادت قراءتها بالتدرج والسياق.</w:t>
            </w:r>
          </w:p>
        </w:tc>
      </w:tr>
      <w:tr>
        <w:tc>
          <w:tcPr>
            <w:tcW w:type="dxa" w:w="3952"/>
            <w:vAlign w:val="center"/>
          </w:tcPr>
          <w:p>
            <w:pPr>
              <w:spacing w:line="283" w:lineRule="auto" w:after="0"/>
              <w:jc w:val="right"/>
              <w:bidi/>
            </w:pPr>
            <w:r>
              <w:rPr>
                <w:sz w:val="18"/>
              </w:rPr>
              <w:t>المدرسة التاريخية الحديثة</w:t>
            </w:r>
          </w:p>
        </w:tc>
        <w:tc>
          <w:tcPr>
            <w:tcW w:type="dxa" w:w="3952"/>
            <w:vAlign w:val="center"/>
          </w:tcPr>
          <w:p>
            <w:pPr>
              <w:spacing w:line="283" w:lineRule="auto" w:after="0"/>
              <w:jc w:val="right"/>
              <w:bidi/>
            </w:pPr>
            <w:r>
              <w:rPr>
                <w:sz w:val="18"/>
              </w:rPr>
              <w:t>ربطت الأحكام بتطور الجماعة وسياقها، مع خطر تحويل التاريخ إلى ناسخ فعلي للنص.</w:t>
            </w:r>
          </w:p>
        </w:tc>
      </w:tr>
      <w:tr>
        <w:tc>
          <w:tcPr>
            <w:tcW w:type="dxa" w:w="3952"/>
            <w:vAlign w:val="center"/>
          </w:tcPr>
          <w:p>
            <w:pPr>
              <w:spacing w:line="283" w:lineRule="auto" w:after="0"/>
              <w:jc w:val="right"/>
              <w:bidi/>
            </w:pPr>
            <w:r>
              <w:rPr>
                <w:sz w:val="18"/>
              </w:rPr>
              <w:t>القراءات المقاصدية</w:t>
            </w:r>
          </w:p>
        </w:tc>
        <w:tc>
          <w:tcPr>
            <w:tcW w:type="dxa" w:w="3952"/>
            <w:vAlign w:val="center"/>
          </w:tcPr>
          <w:p>
            <w:pPr>
              <w:spacing w:line="283" w:lineRule="auto" w:after="0"/>
              <w:jc w:val="right"/>
              <w:bidi/>
            </w:pPr>
            <w:r>
              <w:rPr>
                <w:sz w:val="18"/>
              </w:rPr>
              <w:t>تستخدم المقصد في تفسير تطور الحكم، ويجب منع المقصد من إثبات النسخ بلا دليل.</w:t>
            </w:r>
          </w:p>
        </w:tc>
      </w:tr>
    </w:tbl>
    <w:p>
      <w:pPr>
        <w:spacing w:after="20"/>
      </w:pPr>
    </w:p>
    <w:p>
      <w:pPr>
        <w:pStyle w:val="Heading2"/>
        <w:spacing w:line="283" w:lineRule="auto" w:after="120"/>
        <w:jc w:val="right"/>
        <w:keepNext/>
        <w:bidi/>
      </w:pPr>
      <w:r>
        <w:t>الاستعمال المبكر الواسع</w:t>
      </w:r>
    </w:p>
    <w:p>
      <w:pPr>
        <w:spacing w:line="283" w:lineRule="auto" w:after="80"/>
        <w:ind w:firstLine="397"/>
        <w:jc w:val="both"/>
        <w:bidi/>
      </w:pPr>
      <w:r>
        <w:t>استعمال النسخ أحياناً في البيان والتخصيص والتغيير، مما يستلزم الحذر عند نقل قوائم المتقدمين إلى الاصطلاح المتأخر.</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الأصوليون الموسعون</w:t>
      </w:r>
    </w:p>
    <w:p>
      <w:pPr>
        <w:spacing w:line="283" w:lineRule="auto" w:after="80"/>
        <w:ind w:firstLine="397"/>
        <w:jc w:val="both"/>
        <w:bidi/>
      </w:pPr>
      <w:r>
        <w:t>أثبت بعضهم نسخاً في مواضع كثيرة اعتماداً على التعارض الظاهري والترتيب.</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الأصوليون المضيقون</w:t>
      </w:r>
    </w:p>
    <w:p>
      <w:pPr>
        <w:spacing w:line="283" w:lineRule="auto" w:after="80"/>
        <w:ind w:firstLine="397"/>
        <w:jc w:val="both"/>
        <w:bidi/>
      </w:pPr>
      <w:r>
        <w:t>قيدوا النسخ بشروط أشد ووسعوا إمكان الجمع والتخصيص.</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المفسرون بالمأثور</w:t>
      </w:r>
    </w:p>
    <w:p>
      <w:pPr>
        <w:spacing w:line="283" w:lineRule="auto" w:after="80"/>
        <w:ind w:firstLine="397"/>
        <w:jc w:val="both"/>
        <w:bidi/>
      </w:pPr>
      <w:r>
        <w:t>اعتمدوا روايات الصحابة والتابعين في تعيين الناسخ والمنسوخ مع تفاوت الأسانيد والاستعمالات.</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الفقهاء</w:t>
      </w:r>
    </w:p>
    <w:p>
      <w:pPr>
        <w:spacing w:line="283" w:lineRule="auto" w:after="80"/>
        <w:ind w:firstLine="397"/>
        <w:jc w:val="both"/>
        <w:bidi/>
      </w:pPr>
      <w:r>
        <w:t>وظفوا النسخ لحل تعارض الأدلة في أبواب الأحكام، مع اختلاف المذاهب في الشروط.</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الإمامية</w:t>
      </w:r>
    </w:p>
    <w:p>
      <w:pPr>
        <w:spacing w:line="283" w:lineRule="auto" w:after="80"/>
        <w:ind w:firstLine="397"/>
        <w:jc w:val="both"/>
        <w:bidi/>
      </w:pPr>
      <w:r>
        <w:t>ناقشت النسخ ضمن حاكمية القرآن والأخبار وتاريخ التشريع، مع خصوصية في حجية الروايات.</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المعتزلة والمتكلمون</w:t>
      </w:r>
    </w:p>
    <w:p>
      <w:pPr>
        <w:spacing w:line="283" w:lineRule="auto" w:after="80"/>
        <w:ind w:firstLine="397"/>
        <w:jc w:val="both"/>
        <w:bidi/>
      </w:pPr>
      <w:r>
        <w:t>ربطوا النسخ بالحكمة والتكليف والبداء وتنزيه العلم الإلهي.</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المدرسة الإصلاحية الحديثة</w:t>
      </w:r>
    </w:p>
    <w:p>
      <w:pPr>
        <w:spacing w:line="283" w:lineRule="auto" w:after="80"/>
        <w:ind w:firstLine="397"/>
        <w:jc w:val="both"/>
        <w:bidi/>
      </w:pPr>
      <w:r>
        <w:t>ضيقت كثيراً من دعاوى النسخ وأعادت قراءتها بالتدرج والسياق.</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المدرسة التاريخية الحديثة</w:t>
      </w:r>
    </w:p>
    <w:p>
      <w:pPr>
        <w:spacing w:line="283" w:lineRule="auto" w:after="80"/>
        <w:ind w:firstLine="397"/>
        <w:jc w:val="both"/>
        <w:bidi/>
      </w:pPr>
      <w:r>
        <w:t>ربطت الأحكام بتطور الجماعة وسياقها، مع خطر تحويل التاريخ إلى ناسخ فعلي للنص.</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pPr>
        <w:pStyle w:val="Heading2"/>
        <w:spacing w:line="283" w:lineRule="auto" w:after="120"/>
        <w:jc w:val="right"/>
        <w:keepNext/>
        <w:bidi/>
      </w:pPr>
      <w:r>
        <w:t>القراءات المقاصدية</w:t>
      </w:r>
    </w:p>
    <w:p>
      <w:pPr>
        <w:spacing w:line="283" w:lineRule="auto" w:after="80"/>
        <w:ind w:firstLine="397"/>
        <w:jc w:val="both"/>
        <w:bidi/>
      </w:pPr>
      <w:r>
        <w:t>تستخدم المقصد في تفسير تطور الحكم، ويجب منع المقصد من إثبات النسخ بلا دليل.</w:t>
      </w:r>
    </w:p>
    <w:p>
      <w:pPr>
        <w:spacing w:line="283" w:lineRule="auto" w:after="80"/>
        <w:ind w:firstLine="397"/>
        <w:jc w:val="both"/>
        <w:bidi/>
      </w:pPr>
      <w:r>
        <w:t>يُحفظ من هذا الاتجاه ما يقدمه من سؤال أو أداة، ثم يُعاد اختباره على المدونة القرآنية والتاريخ والروايات واللسان والسياق، ولا يُقبل أو يُرد إجمالاً.</w:t>
      </w:r>
    </w:p>
    <w:p>
      <w:pPr>
        <w:spacing w:line="283" w:lineRule="auto" w:after="80"/>
        <w:ind w:firstLine="397"/>
        <w:jc w:val="both"/>
        <w:bidi/>
      </w:pPr>
      <w:r>
        <w:t>المعيار البياني ليس هو الانتماء المدرسي، بل مقدار ما يثبت من النص والتاريخ وقدرة القراءة على حفظ الدلالات ومنع الطغيان في الاستنباط.</w:t>
      </w:r>
    </w:p>
    <w:p>
      <w:r>
        <w:br w:type="page"/>
      </w:r>
    </w:p>
    <w:p>
      <w:pPr>
        <w:pStyle w:val="Heading1"/>
        <w:spacing w:line="283" w:lineRule="auto" w:after="120"/>
        <w:jc w:val="right"/>
        <w:keepNext/>
        <w:bidi/>
      </w:pPr>
      <w:r>
        <w:t>الأسئلة البحثية المفتوحة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السؤال</w:t>
            </w:r>
          </w:p>
        </w:tc>
        <w:tc>
          <w:tcPr>
            <w:tcW w:type="dxa" w:w="3952"/>
            <w:vAlign w:val="center"/>
          </w:tcPr>
          <w:p>
            <w:pPr>
              <w:spacing w:line="283" w:lineRule="auto" w:after="0"/>
              <w:jc w:val="center"/>
              <w:bidi/>
            </w:pPr>
            <w:r>
              <w:rPr>
                <w:b/>
                <w:sz w:val="18"/>
              </w:rPr>
              <w:t>المجال</w:t>
            </w:r>
          </w:p>
        </w:tc>
      </w:tr>
      <w:tr>
        <w:tc>
          <w:tcPr>
            <w:tcW w:type="dxa" w:w="3952"/>
            <w:vAlign w:val="center"/>
          </w:tcPr>
          <w:p>
            <w:pPr>
              <w:spacing w:line="283" w:lineRule="auto" w:after="0"/>
              <w:jc w:val="right"/>
              <w:bidi/>
            </w:pPr>
            <w:r>
              <w:rPr>
                <w:sz w:val="18"/>
              </w:rPr>
              <w:t>حد النسخ القرآني</w:t>
            </w:r>
          </w:p>
        </w:tc>
        <w:tc>
          <w:tcPr>
            <w:tcW w:type="dxa" w:w="3952"/>
            <w:vAlign w:val="center"/>
          </w:tcPr>
          <w:p>
            <w:pPr>
              <w:spacing w:line="283" w:lineRule="auto" w:after="0"/>
              <w:jc w:val="right"/>
              <w:bidi/>
            </w:pPr>
            <w:r>
              <w:rPr>
                <w:sz w:val="18"/>
              </w:rPr>
              <w:t>هل يمكن حصر المواضع التي تحقق شروط النسخ الصارمة بعد مراجعة جميع القوائم التراثية؟</w:t>
            </w:r>
          </w:p>
        </w:tc>
      </w:tr>
      <w:tr>
        <w:tc>
          <w:tcPr>
            <w:tcW w:type="dxa" w:w="3952"/>
            <w:vAlign w:val="center"/>
          </w:tcPr>
          <w:p>
            <w:pPr>
              <w:spacing w:line="283" w:lineRule="auto" w:after="0"/>
              <w:jc w:val="right"/>
              <w:bidi/>
            </w:pPr>
            <w:r>
              <w:rPr>
                <w:sz w:val="18"/>
              </w:rPr>
              <w:t>تاريخ النزول</w:t>
            </w:r>
          </w:p>
        </w:tc>
        <w:tc>
          <w:tcPr>
            <w:tcW w:type="dxa" w:w="3952"/>
            <w:vAlign w:val="center"/>
          </w:tcPr>
          <w:p>
            <w:pPr>
              <w:spacing w:line="283" w:lineRule="auto" w:after="0"/>
              <w:jc w:val="right"/>
              <w:bidi/>
            </w:pPr>
            <w:r>
              <w:rPr>
                <w:sz w:val="18"/>
              </w:rPr>
              <w:t>كيف تُبنى قاعدة بيانات موثقة للترتيب الزمني على مستوى الآية والمقطع لا السورة فقط؟</w:t>
            </w:r>
          </w:p>
        </w:tc>
      </w:tr>
      <w:tr>
        <w:tc>
          <w:tcPr>
            <w:tcW w:type="dxa" w:w="3952"/>
            <w:vAlign w:val="center"/>
          </w:tcPr>
          <w:p>
            <w:pPr>
              <w:spacing w:line="283" w:lineRule="auto" w:after="0"/>
              <w:jc w:val="right"/>
              <w:bidi/>
            </w:pPr>
            <w:r>
              <w:rPr>
                <w:sz w:val="18"/>
              </w:rPr>
              <w:t>النسخ والتدرج</w:t>
            </w:r>
          </w:p>
        </w:tc>
        <w:tc>
          <w:tcPr>
            <w:tcW w:type="dxa" w:w="3952"/>
            <w:vAlign w:val="center"/>
          </w:tcPr>
          <w:p>
            <w:pPr>
              <w:spacing w:line="283" w:lineRule="auto" w:after="0"/>
              <w:jc w:val="right"/>
              <w:bidi/>
            </w:pPr>
            <w:r>
              <w:rPr>
                <w:sz w:val="18"/>
              </w:rPr>
              <w:t>ما المعايير التي تفصل الحكم المؤقت من الحكم المنسوخ؟</w:t>
            </w:r>
          </w:p>
        </w:tc>
      </w:tr>
      <w:tr>
        <w:tc>
          <w:tcPr>
            <w:tcW w:type="dxa" w:w="3952"/>
            <w:vAlign w:val="center"/>
          </w:tcPr>
          <w:p>
            <w:pPr>
              <w:spacing w:line="283" w:lineRule="auto" w:after="0"/>
              <w:jc w:val="right"/>
              <w:bidi/>
            </w:pPr>
            <w:r>
              <w:rPr>
                <w:sz w:val="18"/>
              </w:rPr>
              <w:t>القرآن والسنة</w:t>
            </w:r>
          </w:p>
        </w:tc>
        <w:tc>
          <w:tcPr>
            <w:tcW w:type="dxa" w:w="3952"/>
            <w:vAlign w:val="center"/>
          </w:tcPr>
          <w:p>
            <w:pPr>
              <w:spacing w:line="283" w:lineRule="auto" w:after="0"/>
              <w:jc w:val="right"/>
              <w:bidi/>
            </w:pPr>
            <w:r>
              <w:rPr>
                <w:sz w:val="18"/>
              </w:rPr>
              <w:t>ما الحد الذي يمكن فيه لسنة ثابتة أن تبين انتهاء حكم قرآني؟</w:t>
            </w:r>
          </w:p>
        </w:tc>
      </w:tr>
      <w:tr>
        <w:tc>
          <w:tcPr>
            <w:tcW w:type="dxa" w:w="3952"/>
            <w:vAlign w:val="center"/>
          </w:tcPr>
          <w:p>
            <w:pPr>
              <w:spacing w:line="283" w:lineRule="auto" w:after="0"/>
              <w:jc w:val="right"/>
              <w:bidi/>
            </w:pPr>
            <w:r>
              <w:rPr>
                <w:sz w:val="18"/>
              </w:rPr>
              <w:t>نسخ التلاوة</w:t>
            </w:r>
          </w:p>
        </w:tc>
        <w:tc>
          <w:tcPr>
            <w:tcW w:type="dxa" w:w="3952"/>
            <w:vAlign w:val="center"/>
          </w:tcPr>
          <w:p>
            <w:pPr>
              <w:spacing w:line="283" w:lineRule="auto" w:after="0"/>
              <w:jc w:val="right"/>
              <w:bidi/>
            </w:pPr>
            <w:r>
              <w:rPr>
                <w:sz w:val="18"/>
              </w:rPr>
              <w:t>ما القيمة التاريخية والحديثية لجميع الروايات الواردة فيه عند جمع طرقها؟</w:t>
            </w:r>
          </w:p>
        </w:tc>
      </w:tr>
      <w:tr>
        <w:tc>
          <w:tcPr>
            <w:tcW w:type="dxa" w:w="3952"/>
            <w:vAlign w:val="center"/>
          </w:tcPr>
          <w:p>
            <w:pPr>
              <w:spacing w:line="283" w:lineRule="auto" w:after="0"/>
              <w:jc w:val="right"/>
              <w:bidi/>
            </w:pPr>
            <w:r>
              <w:rPr>
                <w:sz w:val="18"/>
              </w:rPr>
              <w:t>آية السيف</w:t>
            </w:r>
          </w:p>
        </w:tc>
        <w:tc>
          <w:tcPr>
            <w:tcW w:type="dxa" w:w="3952"/>
            <w:vAlign w:val="center"/>
          </w:tcPr>
          <w:p>
            <w:pPr>
              <w:spacing w:line="283" w:lineRule="auto" w:after="0"/>
              <w:jc w:val="right"/>
              <w:bidi/>
            </w:pPr>
            <w:r>
              <w:rPr>
                <w:sz w:val="18"/>
              </w:rPr>
              <w:t>كيف نشأت فكرة نسخها عدداً كبيراً من آيات السلم والعفو؟</w:t>
            </w:r>
          </w:p>
        </w:tc>
      </w:tr>
      <w:tr>
        <w:tc>
          <w:tcPr>
            <w:tcW w:type="dxa" w:w="3952"/>
            <w:vAlign w:val="center"/>
          </w:tcPr>
          <w:p>
            <w:pPr>
              <w:spacing w:line="283" w:lineRule="auto" w:after="0"/>
              <w:jc w:val="right"/>
              <w:bidi/>
            </w:pPr>
            <w:r>
              <w:rPr>
                <w:sz w:val="18"/>
              </w:rPr>
              <w:t>الوصية والميراث</w:t>
            </w:r>
          </w:p>
        </w:tc>
        <w:tc>
          <w:tcPr>
            <w:tcW w:type="dxa" w:w="3952"/>
            <w:vAlign w:val="center"/>
          </w:tcPr>
          <w:p>
            <w:pPr>
              <w:spacing w:line="283" w:lineRule="auto" w:after="0"/>
              <w:jc w:val="right"/>
              <w:bidi/>
            </w:pPr>
            <w:r>
              <w:rPr>
                <w:sz w:val="18"/>
              </w:rPr>
              <w:t>هل بقي للوصية مجال مستقل بعد آيات المواريث؟</w:t>
            </w:r>
          </w:p>
        </w:tc>
      </w:tr>
      <w:tr>
        <w:tc>
          <w:tcPr>
            <w:tcW w:type="dxa" w:w="3952"/>
            <w:vAlign w:val="center"/>
          </w:tcPr>
          <w:p>
            <w:pPr>
              <w:spacing w:line="283" w:lineRule="auto" w:after="0"/>
              <w:jc w:val="right"/>
              <w:bidi/>
            </w:pPr>
            <w:r>
              <w:rPr>
                <w:sz w:val="18"/>
              </w:rPr>
              <w:t>الخمر</w:t>
            </w:r>
          </w:p>
        </w:tc>
        <w:tc>
          <w:tcPr>
            <w:tcW w:type="dxa" w:w="3952"/>
            <w:vAlign w:val="center"/>
          </w:tcPr>
          <w:p>
            <w:pPr>
              <w:spacing w:line="283" w:lineRule="auto" w:after="0"/>
              <w:jc w:val="right"/>
              <w:bidi/>
            </w:pPr>
            <w:r>
              <w:rPr>
                <w:sz w:val="18"/>
              </w:rPr>
              <w:t>هل المراحل الثلاث تشكل نسخاً تقنياً أم تدرجاً بيانياً؟</w:t>
            </w:r>
          </w:p>
        </w:tc>
      </w:tr>
      <w:tr>
        <w:tc>
          <w:tcPr>
            <w:tcW w:type="dxa" w:w="3952"/>
            <w:vAlign w:val="center"/>
          </w:tcPr>
          <w:p>
            <w:pPr>
              <w:spacing w:line="283" w:lineRule="auto" w:after="0"/>
              <w:jc w:val="right"/>
              <w:bidi/>
            </w:pPr>
            <w:r>
              <w:rPr>
                <w:sz w:val="18"/>
              </w:rPr>
              <w:t>المصابرة</w:t>
            </w:r>
          </w:p>
        </w:tc>
        <w:tc>
          <w:tcPr>
            <w:tcW w:type="dxa" w:w="3952"/>
            <w:vAlign w:val="center"/>
          </w:tcPr>
          <w:p>
            <w:pPr>
              <w:spacing w:line="283" w:lineRule="auto" w:after="0"/>
              <w:jc w:val="right"/>
              <w:bidi/>
            </w:pPr>
            <w:r>
              <w:rPr>
                <w:sz w:val="18"/>
              </w:rPr>
              <w:t>هل التخفيف في الأنفال نسخ أم تعديل تكليف بحسب القدرة؟</w:t>
            </w:r>
          </w:p>
        </w:tc>
      </w:tr>
      <w:tr>
        <w:tc>
          <w:tcPr>
            <w:tcW w:type="dxa" w:w="3952"/>
            <w:vAlign w:val="center"/>
          </w:tcPr>
          <w:p>
            <w:pPr>
              <w:spacing w:line="283" w:lineRule="auto" w:after="0"/>
              <w:jc w:val="right"/>
              <w:bidi/>
            </w:pPr>
            <w:r>
              <w:rPr>
                <w:sz w:val="18"/>
              </w:rPr>
              <w:t>قيام الليل</w:t>
            </w:r>
          </w:p>
        </w:tc>
        <w:tc>
          <w:tcPr>
            <w:tcW w:type="dxa" w:w="3952"/>
            <w:vAlign w:val="center"/>
          </w:tcPr>
          <w:p>
            <w:pPr>
              <w:spacing w:line="283" w:lineRule="auto" w:after="0"/>
              <w:jc w:val="right"/>
              <w:bidi/>
            </w:pPr>
            <w:r>
              <w:rPr>
                <w:sz w:val="18"/>
              </w:rPr>
              <w:t>ما حدود الخطاب للنبي والأمة في سورة المزمل؟</w:t>
            </w:r>
          </w:p>
        </w:tc>
      </w:tr>
      <w:tr>
        <w:tc>
          <w:tcPr>
            <w:tcW w:type="dxa" w:w="3952"/>
            <w:vAlign w:val="center"/>
          </w:tcPr>
          <w:p>
            <w:pPr>
              <w:spacing w:line="283" w:lineRule="auto" w:after="0"/>
              <w:jc w:val="right"/>
              <w:bidi/>
            </w:pPr>
            <w:r>
              <w:rPr>
                <w:sz w:val="18"/>
              </w:rPr>
              <w:t>الحقوق</w:t>
            </w:r>
          </w:p>
        </w:tc>
        <w:tc>
          <w:tcPr>
            <w:tcW w:type="dxa" w:w="3952"/>
            <w:vAlign w:val="center"/>
          </w:tcPr>
          <w:p>
            <w:pPr>
              <w:spacing w:line="283" w:lineRule="auto" w:after="0"/>
              <w:jc w:val="right"/>
              <w:bidi/>
            </w:pPr>
            <w:r>
              <w:rPr>
                <w:sz w:val="18"/>
              </w:rPr>
              <w:t>كيف يؤثر تضييق النسخ في إعادة قراءة أحكام الأسرة والعقوبات؟</w:t>
            </w:r>
          </w:p>
        </w:tc>
      </w:tr>
      <w:tr>
        <w:tc>
          <w:tcPr>
            <w:tcW w:type="dxa" w:w="3952"/>
            <w:vAlign w:val="center"/>
          </w:tcPr>
          <w:p>
            <w:pPr>
              <w:spacing w:line="283" w:lineRule="auto" w:after="0"/>
              <w:jc w:val="right"/>
              <w:bidi/>
            </w:pPr>
            <w:r>
              <w:rPr>
                <w:sz w:val="18"/>
              </w:rPr>
              <w:t>الحوسبة</w:t>
            </w:r>
          </w:p>
        </w:tc>
        <w:tc>
          <w:tcPr>
            <w:tcW w:type="dxa" w:w="3952"/>
            <w:vAlign w:val="center"/>
          </w:tcPr>
          <w:p>
            <w:pPr>
              <w:spacing w:line="283" w:lineRule="auto" w:after="0"/>
              <w:jc w:val="right"/>
              <w:bidi/>
            </w:pPr>
            <w:r>
              <w:rPr>
                <w:sz w:val="18"/>
              </w:rPr>
              <w:t>كيف يمكن للنظام اكتشاف دعاوى النسخ في التراث من غير اعتمادها آلياً؟</w:t>
            </w:r>
          </w:p>
        </w:tc>
      </w:tr>
    </w:tbl>
    <w:p>
      <w:pPr>
        <w:spacing w:after="20"/>
      </w:pPr>
    </w:p>
    <w:p>
      <w:pPr>
        <w:pStyle w:val="Heading2"/>
        <w:spacing w:line="283" w:lineRule="auto" w:after="120"/>
        <w:jc w:val="right"/>
        <w:keepNext/>
        <w:bidi/>
      </w:pPr>
      <w:r>
        <w:t>السؤال المفتوح 1: حد النسخ القرآني</w:t>
      </w:r>
    </w:p>
    <w:p>
      <w:pPr>
        <w:spacing w:line="283" w:lineRule="auto" w:after="80"/>
        <w:ind w:firstLine="397"/>
        <w:jc w:val="both"/>
        <w:bidi/>
      </w:pPr>
      <w:r>
        <w:t>هل يمكن حصر المواضع التي تحقق شروط النسخ الصارمة بعد مراجعة جميع القوائم التراثية؟</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2: تاريخ النزول</w:t>
      </w:r>
    </w:p>
    <w:p>
      <w:pPr>
        <w:spacing w:line="283" w:lineRule="auto" w:after="80"/>
        <w:ind w:firstLine="397"/>
        <w:jc w:val="both"/>
        <w:bidi/>
      </w:pPr>
      <w:r>
        <w:t>كيف تُبنى قاعدة بيانات موثقة للترتيب الزمني على مستوى الآية والمقطع لا السورة فقط؟</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3: النسخ والتدرج</w:t>
      </w:r>
    </w:p>
    <w:p>
      <w:pPr>
        <w:spacing w:line="283" w:lineRule="auto" w:after="80"/>
        <w:ind w:firstLine="397"/>
        <w:jc w:val="both"/>
        <w:bidi/>
      </w:pPr>
      <w:r>
        <w:t>ما المعايير التي تفصل الحكم المؤقت من الحكم المنسوخ؟</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4: القرآن والسنة</w:t>
      </w:r>
    </w:p>
    <w:p>
      <w:pPr>
        <w:spacing w:line="283" w:lineRule="auto" w:after="80"/>
        <w:ind w:firstLine="397"/>
        <w:jc w:val="both"/>
        <w:bidi/>
      </w:pPr>
      <w:r>
        <w:t>ما الحد الذي يمكن فيه لسنة ثابتة أن تبين انتهاء حكم قرآني؟</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5: نسخ التلاوة</w:t>
      </w:r>
    </w:p>
    <w:p>
      <w:pPr>
        <w:spacing w:line="283" w:lineRule="auto" w:after="80"/>
        <w:ind w:firstLine="397"/>
        <w:jc w:val="both"/>
        <w:bidi/>
      </w:pPr>
      <w:r>
        <w:t>ما القيمة التاريخية والحديثية لجميع الروايات الواردة فيه عند جمع طرقها؟</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6: آية السيف</w:t>
      </w:r>
    </w:p>
    <w:p>
      <w:pPr>
        <w:spacing w:line="283" w:lineRule="auto" w:after="80"/>
        <w:ind w:firstLine="397"/>
        <w:jc w:val="both"/>
        <w:bidi/>
      </w:pPr>
      <w:r>
        <w:t>كيف نشأت فكرة نسخها عدداً كبيراً من آيات السلم والعفو؟</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7: الوصية والميراث</w:t>
      </w:r>
    </w:p>
    <w:p>
      <w:pPr>
        <w:spacing w:line="283" w:lineRule="auto" w:after="80"/>
        <w:ind w:firstLine="397"/>
        <w:jc w:val="both"/>
        <w:bidi/>
      </w:pPr>
      <w:r>
        <w:t>هل بقي للوصية مجال مستقل بعد آيات المواريث؟</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8: الخمر</w:t>
      </w:r>
    </w:p>
    <w:p>
      <w:pPr>
        <w:spacing w:line="283" w:lineRule="auto" w:after="80"/>
        <w:ind w:firstLine="397"/>
        <w:jc w:val="both"/>
        <w:bidi/>
      </w:pPr>
      <w:r>
        <w:t>هل المراحل الثلاث تشكل نسخاً تقنياً أم تدرجاً بيانياً؟</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9: المصابرة</w:t>
      </w:r>
    </w:p>
    <w:p>
      <w:pPr>
        <w:spacing w:line="283" w:lineRule="auto" w:after="80"/>
        <w:ind w:firstLine="397"/>
        <w:jc w:val="both"/>
        <w:bidi/>
      </w:pPr>
      <w:r>
        <w:t>هل التخفيف في الأنفال نسخ أم تعديل تكليف بحسب القدرة؟</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10: قيام الليل</w:t>
      </w:r>
    </w:p>
    <w:p>
      <w:pPr>
        <w:spacing w:line="283" w:lineRule="auto" w:after="80"/>
        <w:ind w:firstLine="397"/>
        <w:jc w:val="both"/>
        <w:bidi/>
      </w:pPr>
      <w:r>
        <w:t>ما حدود الخطاب للنبي والأمة في سورة المزمل؟</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11: الحقوق</w:t>
      </w:r>
    </w:p>
    <w:p>
      <w:pPr>
        <w:spacing w:line="283" w:lineRule="auto" w:after="80"/>
        <w:ind w:firstLine="397"/>
        <w:jc w:val="both"/>
        <w:bidi/>
      </w:pPr>
      <w:r>
        <w:t>كيف يؤثر تضييق النسخ في إعادة قراءة أحكام الأسرة والعقوبات؟</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pPr>
        <w:pStyle w:val="Heading2"/>
        <w:spacing w:line="283" w:lineRule="auto" w:after="120"/>
        <w:jc w:val="right"/>
        <w:keepNext/>
        <w:bidi/>
      </w:pPr>
      <w:r>
        <w:t>السؤال المفتوح 12: الحوسبة</w:t>
      </w:r>
    </w:p>
    <w:p>
      <w:pPr>
        <w:spacing w:line="283" w:lineRule="auto" w:after="80"/>
        <w:ind w:firstLine="397"/>
        <w:jc w:val="both"/>
        <w:bidi/>
      </w:pPr>
      <w:r>
        <w:t>كيف يمكن للنظام اكتشاف دعاوى النسخ في التراث من غير اعتمادها آلياً؟</w:t>
      </w:r>
    </w:p>
    <w:p>
      <w:pPr>
        <w:spacing w:line="283" w:lineRule="auto" w:after="80"/>
        <w:ind w:firstLine="397"/>
        <w:jc w:val="both"/>
        <w:bidi/>
      </w:pPr>
      <w:r>
        <w:t>يحتاج هذا السؤال إلى مدونة مستقلة، وإلى فصل النص من الرواية ومن التطبيق الفقهي، وإلى اختبار فرضيات النسخ والتخصيص والتقييد والتدرج قبل النتيجة.</w:t>
      </w:r>
    </w:p>
    <w:p>
      <w:pPr>
        <w:spacing w:line="283" w:lineRule="auto" w:after="80"/>
        <w:ind w:firstLine="397"/>
        <w:jc w:val="both"/>
        <w:bidi/>
      </w:pPr>
      <w:r>
        <w:t>يُعد الإنجاز الحقيقي إنتاج بيانات قابلة للتدقيق أو تصحيح دعوى مشهورة، لا مجرد زيادة عدد الأقوال في المسألة.</w:t>
      </w:r>
    </w:p>
    <w:p>
      <w:r>
        <w:br w:type="page"/>
      </w:r>
    </w:p>
    <w:p>
      <w:pPr>
        <w:pStyle w:val="Heading1"/>
        <w:spacing w:line="283" w:lineRule="auto" w:after="120"/>
        <w:jc w:val="right"/>
        <w:keepNext/>
        <w:bidi/>
      </w:pPr>
      <w:r>
        <w:t>ميثاق الباحث في النسخ</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العهد</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أجعل الأصل بقاء دلالة القرآن لا إسقاطها.</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أسمي الاختلاف نسخاً قبل تحرير العلاقة.</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أجمع المدونة كاملةً قبل الحكم.</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أميز النص من الخبر التاريخي.</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أفحص أسانيد روايات التاريخ والنسخ.</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أثبت النسخ بلا تاريخ معتبر أو دلالة صريحة.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أختبر الجمع قبل الرفع.</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أختبر التخصيص والتقييد والتدرج.</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أحدد المخاطب والمقام والمناط.</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أذكر ما يبقى من النص المنسوخ حكماً إن ثبت.</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لا أرفع محكماً بخبر ضعيف.</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لا أستعمل النسخ لحماية المذهب.</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لا أستعمل المقصد ناسخاً للنص.</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أرفع عتبة الدليل في الحقوق والعقوبات.</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أقبل التوقف عند نقص التاريخ.</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أذكر القول المخالف بأقوى صورة.</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أحفظ تاريخ الحكم والإصدار.</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أصحح نتيجة النسخ عند ظهور دليل أقوى.</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أطبق المعيار نفسه على الموافق والمخالف.</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أرد العلم إلى الله ولا أدعي الإحاطة بتاريخ الوحي.</w:t>
            </w:r>
          </w:p>
        </w:tc>
      </w:tr>
    </w:tbl>
    <w:p>
      <w:pPr>
        <w:spacing w:after="20"/>
      </w:pPr>
    </w:p>
    <w:p>
      <w:pPr>
        <w:spacing w:line="283" w:lineRule="auto" w:after="80"/>
        <w:ind w:firstLine="397"/>
        <w:jc w:val="both"/>
        <w:bidi/>
      </w:pPr>
      <w:r>
        <w:t>العهد 1: أجعل الأصل بقاء دلالة القرآن لا إسقاطها.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2: لا أسمي الاختلاف نسخاً قبل تحرير العلاقة.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3: أجمع المدونة كاملةً قبل الحكم.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4: أميز النص من الخبر التاريخي.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5: أفحص أسانيد روايات التاريخ والنسخ.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6: لا أثبت النسخ بلا تاريخ معتبر أو دلالة صريحة.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7: أختبر الجمع قبل الرفع.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8: أختبر التخصيص والتقييد والتدرج.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9: أحدد المخاطب والمقام والمناط.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10: أذكر ما يبقى من النص المنسوخ حكماً إن ثبت.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11: لا أرفع محكماً بخبر ضعيف.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12: لا أستعمل النسخ لحماية المذهب.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13: لا أستعمل المقصد ناسخاً للنص.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14: أرفع عتبة الدليل في الحقوق والعقوبات.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15: أقبل التوقف عند نقص التاريخ.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16: أذكر القول المخالف بأقوى صورة.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17: أحفظ تاريخ الحكم والإصدار.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18: أصحح نتيجة النسخ عند ظهور دليل أقوى.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19: أطبق المعيار نفسه على الموافق والمخالف. ولا يثبت الالتزام به في مقدمة الكتاب، بل في طريقة جمع المادة ولغة الحكم والاستعداد لسحب دعوى النسخ إذا لم تصمد أمام الاختبار.</w:t>
      </w:r>
    </w:p>
    <w:p>
      <w:pPr>
        <w:spacing w:line="283" w:lineRule="auto" w:after="80"/>
        <w:ind w:firstLine="397"/>
        <w:jc w:val="both"/>
        <w:bidi/>
      </w:pPr>
      <w:r>
        <w:t>العهد 20: أرد العلم إلى الله ولا أدعي الإحاطة بتاريخ الوحي. ولا يثبت الالتزام به في مقدمة الكتاب، بل في طريقة جمع المادة ولغة الحكم والاستعداد لسحب دعوى النسخ إذا لم تصمد أمام الاختبار.</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النسخ باب ضيق عالي الأثر، لا أداة عامة لحل كل اختلاف. فالأصل في القرآن وحدة الكتاب وبقاء الدلالة والعمل بالنص في مجاله، ولا يترك هذا الأصل إلا بدليل يثبت الرفع بعد استنفاد وجوه الجمع المعتبرة.</w:t>
      </w:r>
    </w:p>
    <w:p>
      <w:pPr>
        <w:spacing w:line="283" w:lineRule="auto" w:after="80"/>
        <w:ind w:firstLine="397"/>
        <w:jc w:val="both"/>
        <w:bidi/>
      </w:pPr>
      <w:r>
        <w:t>تكشف إعادة البناء أن كثيراً من دعاوى النسخ التاريخية تتوزع عند التدقيق بين تخصيص وتقييد وتدرج وتغير مخاطب أو مناط أو حكم مؤقت. ولا يعني ذلك إنكار النسخ من حيث الإمكان أو الوقوع، بل تحرير حدوده حتى لا يتحول إلى إخسار في دلالة القرآن.</w:t>
      </w:r>
    </w:p>
    <w:p>
      <w:pPr>
        <w:spacing w:line="283" w:lineRule="auto" w:after="80"/>
        <w:ind w:firstLine="397"/>
        <w:jc w:val="both"/>
        <w:bidi/>
      </w:pPr>
      <w:r>
        <w:t>كما يتبين أن التاريخ شرط مركزي؛ فالنسخ لا يُعرف من التشابه النصي وحده. ويجب لذلك تطوير مدونة زمنية للنزول تربط الآية والمقطع والرواية ودرجة الثقة، مع الاعتراف بأن بعض المواضع ستبقى غير محسومة.</w:t>
      </w:r>
    </w:p>
    <w:p>
      <w:pPr>
        <w:spacing w:line="283" w:lineRule="auto" w:after="80"/>
        <w:ind w:firstLine="397"/>
        <w:jc w:val="both"/>
        <w:bidi/>
      </w:pPr>
      <w:r>
        <w:t>ويمنع المنهج أن تصبح المقاصد أو القيم الحديثة أو الواقع المتغير نواسخ للنص. فهذه تدخل في فهم المجال والمناط والتنزيل، أما رفع الحكم المنزل فيحتاج إلى دليل من مرتبته ووظيفته.</w:t>
      </w:r>
    </w:p>
    <w:p>
      <w:pPr>
        <w:spacing w:line="283" w:lineRule="auto" w:after="80"/>
        <w:ind w:firstLine="397"/>
        <w:jc w:val="both"/>
        <w:bidi/>
      </w:pPr>
      <w:r>
        <w:t>وبذلك يصبح علم النسخ في التفسير البياني علم علاقة بين نصين وحكمين وزمنين ومقامين، لا قائمةً جاهزةً للآيات الساقطة من العمل. وتبقى كل آية جزءاً من البيان القرآني، حتى إذا ثبت رفع حكم مخصوص لها بقيت دلالاتها الأخرى وسياقها وشهادتها في شبكة الكتاب.</w:t>
      </w:r>
    </w:p>
    <w:p>
      <w:pPr>
        <w:pStyle w:val="Heading2"/>
        <w:spacing w:line="283" w:lineRule="auto" w:after="120"/>
        <w:jc w:val="right"/>
        <w:keepNext/>
        <w:bidi/>
      </w:pPr>
      <w:r>
        <w:t>التعريف النهائي</w:t>
      </w:r>
    </w:p>
    <w:p>
      <w:pPr>
        <w:spacing w:line="283" w:lineRule="auto" w:after="80"/>
        <w:ind w:firstLine="397"/>
        <w:jc w:val="both"/>
        <w:bidi/>
      </w:pPr>
      <w:r>
        <w:t>النسخ في التفسير البياني هو رفع حكم قرآني سابق في مجاله بخطاب لاحق ثبت تأخره وثبتت دلالته على الرفع، بعد استنفاد إمكان الجمع والتخصيص والتقييد والتفصيل والتدرج وتعدد المقام وتغير المناط، مع التمييز بين الحكم والنص والتلاوة والتطبيق، وربط كل دعوى بالمدونة القرآنية والتاريخ والروايات والمخاطب والسياق ودرجة الثقة، بحيث يبقى النسخ استثناءً من أصل بقاء الدلالة، ويظل الحكم به قابلاً للتدقيق والاعتراض والتصحيح تحت حاكمية القرآن ومنطق البيان والميزان والقسط.</w:t>
      </w:r>
    </w:p>
    <w:p>
      <w:pPr>
        <w:pStyle w:val="Heading1"/>
        <w:spacing w:line="283" w:lineRule="auto" w:after="120"/>
        <w:jc w:val="right"/>
        <w:keepNext/>
        <w:bidi/>
      </w:pPr>
      <w:r>
        <w:t>الملحق التطبيقي الموسع: ملفات دعاوى النسخ الكبرى</w:t>
      </w:r>
    </w:p>
    <w:p>
      <w:pPr>
        <w:pStyle w:val="Heading2"/>
        <w:spacing w:line="283" w:lineRule="auto" w:after="120"/>
        <w:jc w:val="right"/>
        <w:keepNext/>
        <w:bidi/>
      </w:pPr>
      <w:r>
        <w:t>الملف 1: آية السيف وآيات العفو والسلم</w:t>
      </w:r>
    </w:p>
    <w:p>
      <w:pPr>
        <w:spacing w:line="283" w:lineRule="auto" w:after="80"/>
        <w:ind w:firstLine="397"/>
        <w:jc w:val="both"/>
        <w:bidi/>
      </w:pPr>
      <w:r>
        <w:t>موضع الدعوى: النص المركزي هو التوبة: 5، ويقارن بـالبقرة: 109، والنساء: 90، والأنفال: 61، والممتحنة: 8 وغيرها. وقد اشتهر في بعض كتب الناسخ والمنسوخ أو التفسير تصور مفاده: النسخ الكلي لعشرات الآيات.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السياق العهدي والحربي، وتمييز المشركين الناقضين من غيرهم.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تخصيص أو اختلاف مقام أرجح من النسخ الكلي.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البقرة: 109، والنساء: 90، والأنفال: 61، والممتحنة: 8 وغيرها</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التوبة: 5</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النسخ الكلي لعشرات الآيات</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السياق العهدي والحربي، وتمييز المشركين الناقضين من غيرهم</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تخصيص أو اختلاف مقام أرجح من النسخ الكلي</w:t>
            </w:r>
          </w:p>
        </w:tc>
      </w:tr>
    </w:tbl>
    <w:p>
      <w:pPr>
        <w:pStyle w:val="Heading2"/>
        <w:spacing w:line="283" w:lineRule="auto" w:after="120"/>
        <w:jc w:val="right"/>
        <w:keepNext/>
        <w:bidi/>
      </w:pPr>
      <w:r>
        <w:t>الملف 2: لا إكراه في الدين</w:t>
      </w:r>
    </w:p>
    <w:p>
      <w:pPr>
        <w:spacing w:line="283" w:lineRule="auto" w:after="80"/>
        <w:ind w:firstLine="397"/>
        <w:jc w:val="both"/>
        <w:bidi/>
      </w:pPr>
      <w:r>
        <w:t>موضع الدعوى: النص المركزي هو البقرة: 256، ويقارن بـآيات القتال في التوبة والأنفال. وقد اشتهر في بعض كتب الناسخ والمنسوخ أو التفسير تصور مفاده: دعوى نسخ أصل عدم الإكراه.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اختلاف موضوع الاعتقاد عن الحرب والعدوان.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بقاء الأصل مع أحكام قتال مستقلة.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آيات القتال في التوبة والأنفال</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256</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أصل عدم الإكراه</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اختلاف موضوع الاعتقاد عن الحرب والعدوان</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بقاء الأصل مع أحكام قتال مستقلة</w:t>
            </w:r>
          </w:p>
        </w:tc>
      </w:tr>
    </w:tbl>
    <w:p>
      <w:pPr>
        <w:pStyle w:val="Heading2"/>
        <w:spacing w:line="283" w:lineRule="auto" w:after="120"/>
        <w:jc w:val="right"/>
        <w:keepNext/>
        <w:bidi/>
      </w:pPr>
      <w:r>
        <w:t>الملف 3: تحويل القبلة</w:t>
      </w:r>
    </w:p>
    <w:p>
      <w:pPr>
        <w:spacing w:line="283" w:lineRule="auto" w:after="80"/>
        <w:ind w:firstLine="397"/>
        <w:jc w:val="both"/>
        <w:bidi/>
      </w:pPr>
      <w:r>
        <w:t>موضع الدعوى: النص المركزي هو البقرة: 142-150، ويقارن بـاستقبال بيت المقدس في المرحلة السابقة. وقد اشتهر في بعض كتب الناسخ والمنسوخ أو التفسير تصور مفاده: نسخ جهة الصلاة.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ثبوت انتقال جهة التكليف مع بقاء الدلالة التاريخية لبيت المقدس.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نسخ حكمي محدد في جهة الصلاة.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استقبال بيت المقدس في المرحلة السابقة</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142-150</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جهة الصلاة</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ثبوت انتقال جهة التكليف مع بقاء الدلالة التاريخية لبيت المقدس</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نسخ حكمي محدد في جهة الصلاة</w:t>
            </w:r>
          </w:p>
        </w:tc>
      </w:tr>
    </w:tbl>
    <w:p>
      <w:pPr>
        <w:pStyle w:val="Heading2"/>
        <w:spacing w:line="283" w:lineRule="auto" w:after="120"/>
        <w:jc w:val="right"/>
        <w:keepNext/>
        <w:bidi/>
      </w:pPr>
      <w:r>
        <w:t>الملف 4: الخمر</w:t>
      </w:r>
    </w:p>
    <w:p>
      <w:pPr>
        <w:spacing w:line="283" w:lineRule="auto" w:after="80"/>
        <w:ind w:firstLine="397"/>
        <w:jc w:val="both"/>
        <w:bidi/>
      </w:pPr>
      <w:r>
        <w:t>موضع الدعوى: النص المركزي هو البقرة: 219، والنساء: 43، والمائدة: 90-91، ويقارن بـمراحل بيان الإثم ومنع الصلاة حال السكر ثم الاجتناب. وقد اشتهر في بعض كتب الناسخ والمنسوخ أو التفسير تصور مفاده: نسخ متتابع.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التدرج التعليمي والتشريعي وإمكان بقاء الأخبار الوصفية.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تحريم نهائي مع تدرج؛ لا يلزم وصف كل آية بالمنسوخة.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مراحل بيان الإثم ومنع الصلاة حال السكر ثم الاجتناب</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219، والنساء: 43، والمائدة: 90-91</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متتابع</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التدرج التعليمي والتشريعي وإمكان بقاء الأخبار الوصفية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تحريم نهائي مع تدرج؛ لا يلزم وصف كل آية بالمنسوخة</w:t>
            </w:r>
          </w:p>
        </w:tc>
      </w:tr>
    </w:tbl>
    <w:p>
      <w:pPr>
        <w:pStyle w:val="Heading2"/>
        <w:spacing w:line="283" w:lineRule="auto" w:after="120"/>
        <w:jc w:val="right"/>
        <w:keepNext/>
        <w:bidi/>
      </w:pPr>
      <w:r>
        <w:t>الملف 5: الوصية للوالدين والأقربين</w:t>
      </w:r>
    </w:p>
    <w:p>
      <w:pPr>
        <w:spacing w:line="283" w:lineRule="auto" w:after="80"/>
        <w:ind w:firstLine="397"/>
        <w:jc w:val="both"/>
        <w:bidi/>
      </w:pPr>
      <w:r>
        <w:t>موضع الدعوى: النص المركزي هو البقرة: 180، ويقارن بـالنساء: 11-12. وقد اشتهر في بعض كتب الناسخ والمنسوخ أو التفسير تصور مفاده: نسخ الوصية بآيات المواريث.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تمييز الوارث من غير الوارث والوصية التبرعية من الفريضة.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التخصيص أو إعادة تحديد المجال يحتاجان بحثاً أرجح من النسخ الكلي.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النساء: 11-12</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180</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الوصية بآيات المواريث</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تمييز الوارث من غير الوارث والوصية التبرعية من الفريضة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التخصيص أو إعادة تحديد المجال يحتاجان بحثاً أرجح من النسخ الكلي</w:t>
            </w:r>
          </w:p>
        </w:tc>
      </w:tr>
    </w:tbl>
    <w:p>
      <w:pPr>
        <w:pStyle w:val="Heading2"/>
        <w:spacing w:line="283" w:lineRule="auto" w:after="120"/>
        <w:jc w:val="right"/>
        <w:keepNext/>
        <w:bidi/>
      </w:pPr>
      <w:r>
        <w:t>الملف 6: عدة المتوفى عنها زوجها</w:t>
      </w:r>
    </w:p>
    <w:p>
      <w:pPr>
        <w:spacing w:line="283" w:lineRule="auto" w:after="80"/>
        <w:ind w:firstLine="397"/>
        <w:jc w:val="both"/>
        <w:bidi/>
      </w:pPr>
      <w:r>
        <w:t>موضع الدعوى: النص المركزي هو البقرة: 240، ويقارن بـالبقرة: 234. وقد اشتهر في بعض كتب الناسخ والمنسوخ أو التفسير تصور مفاده: نسخ الحول بأربعة أشهر وعشر.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تحرير الفرق بين العدة والسكنى والمتاع.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قد يكون اختلاف الموضوع أرجح من النسخ الشامل.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البقرة: 234</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240</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الحول بأربعة أشهر وعشر</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تحرير الفرق بين العدة والسكنى والمتاع</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قد يكون اختلاف الموضوع أرجح من النسخ الشامل</w:t>
            </w:r>
          </w:p>
        </w:tc>
      </w:tr>
    </w:tbl>
    <w:p>
      <w:pPr>
        <w:pStyle w:val="Heading2"/>
        <w:spacing w:line="283" w:lineRule="auto" w:after="120"/>
        <w:jc w:val="right"/>
        <w:keepNext/>
        <w:bidi/>
      </w:pPr>
      <w:r>
        <w:t>الملف 7: المصابرة في الأنفال</w:t>
      </w:r>
    </w:p>
    <w:p>
      <w:pPr>
        <w:spacing w:line="283" w:lineRule="auto" w:after="80"/>
        <w:ind w:firstLine="397"/>
        <w:jc w:val="both"/>
        <w:bidi/>
      </w:pPr>
      <w:r>
        <w:t>موضع الدعوى: النص المركزي هو الأنفال: 65، ويقارن بـالأنفال: 66. وقد اشتهر في بعض كتب الناسخ والمنسوخ أو التفسير تصور مفاده: نسخ نسبة عشرة باثنين.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النص نفسه يصرح بالتخفيف وعلم الضعف.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نسخ أو تخفيف حكمي صريح محدود.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الأنفال: 66</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الأنفال: 65</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نسبة عشرة باثنين</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النص نفسه يصرح بالتخفيف وعلم الضعف</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نسخ أو تخفيف حكمي صريح محدود</w:t>
            </w:r>
          </w:p>
        </w:tc>
      </w:tr>
    </w:tbl>
    <w:p>
      <w:pPr>
        <w:pStyle w:val="Heading2"/>
        <w:spacing w:line="283" w:lineRule="auto" w:after="120"/>
        <w:jc w:val="right"/>
        <w:keepNext/>
        <w:bidi/>
      </w:pPr>
      <w:r>
        <w:t>الملف 8: قيام الليل</w:t>
      </w:r>
    </w:p>
    <w:p>
      <w:pPr>
        <w:spacing w:line="283" w:lineRule="auto" w:after="80"/>
        <w:ind w:firstLine="397"/>
        <w:jc w:val="both"/>
        <w:bidi/>
      </w:pPr>
      <w:r>
        <w:t>موضع الدعوى: النص المركزي هو المزمل: 2-4، ويقارن بـالمزمل: 20. وقد اشتهر في بعض كتب الناسخ والمنسوخ أو التفسير تصور مفاده: نسخ وجوب القيام.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المخاطب في أول السورة وآخرها وامتداد الخطاب للجماعة.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تخفيف ورفع مقدار إلزام مع بقاء أصل العبادة.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المزمل: 20</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المزمل: 2-4</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وجوب القيام</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المخاطب في أول السورة وآخرها وامتداد الخطاب للجماعة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تخفيف ورفع مقدار إلزام مع بقاء أصل العبادة</w:t>
            </w:r>
          </w:p>
        </w:tc>
      </w:tr>
    </w:tbl>
    <w:p>
      <w:pPr>
        <w:pStyle w:val="Heading2"/>
        <w:spacing w:line="283" w:lineRule="auto" w:after="120"/>
        <w:jc w:val="right"/>
        <w:keepNext/>
        <w:bidi/>
      </w:pPr>
      <w:r>
        <w:t>الملف 9: صدقة النجوى</w:t>
      </w:r>
    </w:p>
    <w:p>
      <w:pPr>
        <w:spacing w:line="283" w:lineRule="auto" w:after="80"/>
        <w:ind w:firstLine="397"/>
        <w:jc w:val="both"/>
        <w:bidi/>
      </w:pPr>
      <w:r>
        <w:t>موضع الدعوى: النص المركزي هو المجادلة: 12، ويقارن بـالمجادلة: 13. وقد اشتهر في بعض كتب الناسخ والمنسوخ أو التفسير تصور مفاده: نسخ وجوب الصدقة قبل النجوى.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قصر مدة الحكم ووظيفته التربوية والتمييزية.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نسخ صريح أو رفع حكم مؤقت قريب من النص.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المجادلة: 13</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المجادلة: 12</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وجوب الصدقة قبل النجوى</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قصر مدة الحكم ووظيفته التربوية والتمييزية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نسخ صريح أو رفع حكم مؤقت قريب من النص</w:t>
            </w:r>
          </w:p>
        </w:tc>
      </w:tr>
    </w:tbl>
    <w:p>
      <w:pPr>
        <w:pStyle w:val="Heading2"/>
        <w:spacing w:line="283" w:lineRule="auto" w:after="120"/>
        <w:jc w:val="right"/>
        <w:keepNext/>
        <w:bidi/>
      </w:pPr>
      <w:r>
        <w:t>الملف 10: الصوم والفدية</w:t>
      </w:r>
    </w:p>
    <w:p>
      <w:pPr>
        <w:spacing w:line="283" w:lineRule="auto" w:after="80"/>
        <w:ind w:firstLine="397"/>
        <w:jc w:val="both"/>
        <w:bidi/>
      </w:pPr>
      <w:r>
        <w:t>موضع الدعوى: النص المركزي هو البقرة: 184، ويقارن بـالبقرة: 185. وقد اشتهر في بعض كتب الناسخ والمنسوخ أو التفسير تصور مفاده: نسخ التخيير بين الصوم والفدية.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القراءات والتفسير في معنى يطيقونه واستمرار الرخص لبعض الفئات.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النسخ الكلي يحتاج إلى تقييد؛ استمرار الرخص ظاهر.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البقرة: 185</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184</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التخيير بين الصوم والفدية</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القراءات والتفسير في معنى يطيقونه واستمرار الرخص لبعض الفئات</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النسخ الكلي يحتاج إلى تقييد؛ استمرار الرخص ظاهر</w:t>
            </w:r>
          </w:p>
        </w:tc>
      </w:tr>
    </w:tbl>
    <w:p>
      <w:pPr>
        <w:pStyle w:val="Heading2"/>
        <w:spacing w:line="283" w:lineRule="auto" w:after="120"/>
        <w:jc w:val="right"/>
        <w:keepNext/>
        <w:bidi/>
      </w:pPr>
      <w:r>
        <w:t>الملف 11: العفو والقصاص</w:t>
      </w:r>
    </w:p>
    <w:p>
      <w:pPr>
        <w:spacing w:line="283" w:lineRule="auto" w:after="80"/>
        <w:ind w:firstLine="397"/>
        <w:jc w:val="both"/>
        <w:bidi/>
      </w:pPr>
      <w:r>
        <w:t>موضع الدعوى: النص المركزي هو البقرة: 178-179، ويقارن بـآيات العفو والإحسان. وقد اشتهر في بعض كتب الناسخ والمنسوخ أو التفسير تصور مفاده: نسخ العفو بالقصاص.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النص نفسه يجعل العفو جزءاً من بنية الحكم.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نسخ؛ تعدد خيارات وتنظيم للحق.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آيات العفو والإحسان</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178-179</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العفو بالقصاص</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النص نفسه يجعل العفو جزءاً من بنية الحكم</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نسخ؛ تعدد خيارات وتنظيم للحق</w:t>
            </w:r>
          </w:p>
        </w:tc>
      </w:tr>
    </w:tbl>
    <w:p>
      <w:pPr>
        <w:pStyle w:val="Heading2"/>
        <w:spacing w:line="283" w:lineRule="auto" w:after="120"/>
        <w:jc w:val="right"/>
        <w:keepNext/>
        <w:bidi/>
      </w:pPr>
      <w:r>
        <w:t>الملف 12: آيات الزنا</w:t>
      </w:r>
    </w:p>
    <w:p>
      <w:pPr>
        <w:spacing w:line="283" w:lineRule="auto" w:after="80"/>
        <w:ind w:firstLine="397"/>
        <w:jc w:val="both"/>
        <w:bidi/>
      </w:pPr>
      <w:r>
        <w:t>موضع الدعوى: النص المركزي هو النساء: 15-16، ويقارن بـالنور: 2. وقد اشتهر في بعض كتب الناسخ والمنسوخ أو التفسير تصور مفاده: نسخ الحبس والأذى بالجلد.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اختلاف المخاطب والتاريخ والروايات، وإمكان المرحلية.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دعوى نسخ قوية تاريخياً لكنها تحتاج ضبطاً تفصيلياً للمناط.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النور: 2</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النساء: 15-16</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الحبس والأذى بالجلد</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اختلاف المخاطب والتاريخ والروايات، وإمكان المرحلية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دعوى نسخ قوية تاريخياً لكنها تحتاج ضبطاً تفصيلياً للمناط</w:t>
            </w:r>
          </w:p>
        </w:tc>
      </w:tr>
    </w:tbl>
    <w:p>
      <w:pPr>
        <w:pStyle w:val="Heading2"/>
        <w:spacing w:line="283" w:lineRule="auto" w:after="120"/>
        <w:jc w:val="right"/>
        <w:keepNext/>
        <w:bidi/>
      </w:pPr>
      <w:r>
        <w:t>الملف 13: القتال في الشهر الحرام</w:t>
      </w:r>
    </w:p>
    <w:p>
      <w:pPr>
        <w:spacing w:line="283" w:lineRule="auto" w:after="80"/>
        <w:ind w:firstLine="397"/>
        <w:jc w:val="both"/>
        <w:bidi/>
      </w:pPr>
      <w:r>
        <w:t>موضع الدعوى: النص المركزي هو البقرة: 217، ويقارن بـالتوبة: 36 وآيات القتال. وقد اشتهر في بعض كتب الناسخ والمنسوخ أو التفسير تصور مفاده: نسخ حرمة القتال.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استمرار وصف الأشهر الحرم مع استثناء العدوان والقتال.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التخصيص والمقابلة بالمثل أرجح من النسخ المطلق.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التوبة: 36 وآيات القتال</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البقرة: 217</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حرمة القتال</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استمرار وصف الأشهر الحرم مع استثناء العدوان والقتال</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التخصيص والمقابلة بالمثل أرجح من النسخ المطلق</w:t>
            </w:r>
          </w:p>
        </w:tc>
      </w:tr>
    </w:tbl>
    <w:p>
      <w:pPr>
        <w:pStyle w:val="Heading2"/>
        <w:spacing w:line="283" w:lineRule="auto" w:after="120"/>
        <w:jc w:val="right"/>
        <w:keepNext/>
        <w:bidi/>
      </w:pPr>
      <w:r>
        <w:t>الملف 14: الصبر على الأذى والقتال</w:t>
      </w:r>
    </w:p>
    <w:p>
      <w:pPr>
        <w:spacing w:line="283" w:lineRule="auto" w:after="80"/>
        <w:ind w:firstLine="397"/>
        <w:jc w:val="both"/>
        <w:bidi/>
      </w:pPr>
      <w:r>
        <w:t>موضع الدعوى: النص المركزي هو المزمل والمزملات المكية، ويقارن بـالحج: 39 والبقرة: 190. وقد اشتهر في بعض كتب الناسخ والمنسوخ أو التفسير تصور مفاده: نسخ الصبر بالإذن بالقتال.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تغير قدرة الجماعة وظهور سلطة دفاعية مع بقاء الصبر كخلق.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تدرج في التكليف السياسي لا إلغاء لقيمة الصبر.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الحج: 39 والبقرة: 190</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المزمل والمزملات المكية</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الصبر بالإذن بالقتال</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تغير قدرة الجماعة وظهور سلطة دفاعية مع بقاء الصبر كخلق</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تدرج في التكليف السياسي لا إلغاء لقيمة الصبر</w:t>
            </w:r>
          </w:p>
        </w:tc>
      </w:tr>
    </w:tbl>
    <w:p>
      <w:pPr>
        <w:pStyle w:val="Heading2"/>
        <w:spacing w:line="283" w:lineRule="auto" w:after="120"/>
        <w:jc w:val="right"/>
        <w:keepNext/>
        <w:bidi/>
      </w:pPr>
      <w:r>
        <w:t>الملف 15: البر والقسط مع غير المسلمين</w:t>
      </w:r>
    </w:p>
    <w:p>
      <w:pPr>
        <w:spacing w:line="283" w:lineRule="auto" w:after="80"/>
        <w:ind w:firstLine="397"/>
        <w:jc w:val="both"/>
        <w:bidi/>
      </w:pPr>
      <w:r>
        <w:t>موضع الدعوى: النص المركزي هو الممتحنة: 8، ويقارن بـالمائدة: 51 والتوبة: 23. وقد اشتهر في بعض كتب الناسخ والمنسوخ أو التفسير تصور مفاده: دعوى نسخ البر بآيات الولاء.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تمييز البر والقسط من التحالف السياسي في سياق عدائي.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نسخ إذا حُررت الوظائف والمخاطبون.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المائدة: 51 والتوبة: 23</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الممتحنة: 8</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البر بآيات الولاء</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تمييز البر والقسط من التحالف السياسي في سياق عدائي</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نسخ إذا حُررت الوظائف والمخاطبون</w:t>
            </w:r>
          </w:p>
        </w:tc>
      </w:tr>
    </w:tbl>
    <w:p>
      <w:pPr>
        <w:pStyle w:val="Heading2"/>
        <w:spacing w:line="283" w:lineRule="auto" w:after="120"/>
        <w:jc w:val="right"/>
        <w:keepNext/>
        <w:bidi/>
      </w:pPr>
      <w:r>
        <w:t>الملف 16: صفحة المشركين</w:t>
      </w:r>
    </w:p>
    <w:p>
      <w:pPr>
        <w:spacing w:line="283" w:lineRule="auto" w:after="80"/>
        <w:ind w:firstLine="397"/>
        <w:jc w:val="both"/>
        <w:bidi/>
      </w:pPr>
      <w:r>
        <w:t>موضع الدعوى: النص المركزي هو الحجر: 85 والأنعام وغيرها، ويقارن بـالتوبة: 5. وقد اشتهر في بعض كتب الناسخ والمنسوخ أو التفسير تصور مفاده: نسخ الصفح بآية السيف.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المكي والمدني وتغير السلطة مع بقاء إمكان العفو.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دعوى النسخ الكلي أضعف من تدرج السلطة وتعدد المقام.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التوبة: 5</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الحجر: 85 والأنعام وغيرها</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الصفح بآية السيف</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المكي والمدني وتغير السلطة مع بقاء إمكان العفو</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دعوى النسخ الكلي أضعف من تدرج السلطة وتعدد المقام</w:t>
            </w:r>
          </w:p>
        </w:tc>
      </w:tr>
    </w:tbl>
    <w:p>
      <w:pPr>
        <w:pStyle w:val="Heading2"/>
        <w:spacing w:line="283" w:lineRule="auto" w:after="120"/>
        <w:jc w:val="right"/>
        <w:keepNext/>
        <w:bidi/>
      </w:pPr>
      <w:r>
        <w:t>الملف 17: آية السرقة</w:t>
      </w:r>
    </w:p>
    <w:p>
      <w:pPr>
        <w:spacing w:line="283" w:lineRule="auto" w:after="80"/>
        <w:ind w:firstLine="397"/>
        <w:jc w:val="both"/>
        <w:bidi/>
      </w:pPr>
      <w:r>
        <w:t>موضع الدعوى: النص المركزي هو المائدة: 38، ويقارن بـقواعد التوبة والإصلاح. وقد اشتهر في بعض كتب الناسخ والمنسوخ أو التفسير تصور مفاده: دعوى نسخ التوبة لأثر العقوبة أو العكس.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التوبة أثر أخروي واجتماعي والعقوبة حكم قضائي.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نسخ؛ اختلاف طبقة الحكم.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قواعد التوبة والإصلاح</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المائدة: 38</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التوبة لأثر العقوبة أو العكس</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التوبة أثر أخروي واجتماعي والعقوبة حكم قضائي</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نسخ؛ اختلاف طبقة الحكم</w:t>
            </w:r>
          </w:p>
        </w:tc>
      </w:tr>
    </w:tbl>
    <w:p>
      <w:pPr>
        <w:pStyle w:val="Heading2"/>
        <w:spacing w:line="283" w:lineRule="auto" w:after="120"/>
        <w:jc w:val="right"/>
        <w:keepNext/>
        <w:bidi/>
      </w:pPr>
      <w:r>
        <w:t>الملف 18: الميراث والوصية</w:t>
      </w:r>
    </w:p>
    <w:p>
      <w:pPr>
        <w:spacing w:line="283" w:lineRule="auto" w:after="80"/>
        <w:ind w:firstLine="397"/>
        <w:jc w:val="both"/>
        <w:bidi/>
      </w:pPr>
      <w:r>
        <w:t>موضع الدعوى: النص المركزي هو النساء: 11-12، ويقارن بـالبقرة: 180. وقد اشتهر في بعض كتب الناسخ والمنسوخ أو التفسير تصور مفاده: إلغاء الوصية بالكامل.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وجود الوصية في آيات الدين والحقوق وإمكان مجال غير الوارث.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يلزم تقييد دقيق؛ النسخ الكلي غير لازم.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البقرة: 180</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النساء: 11-12</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إلغاء الوصية بالكامل</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وجود الوصية في آيات الدين والحقوق وإمكان مجال غير الوارث</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يلزم تقييد دقيق؛ النسخ الكلي غير لازم</w:t>
            </w:r>
          </w:p>
        </w:tc>
      </w:tr>
    </w:tbl>
    <w:p>
      <w:pPr>
        <w:pStyle w:val="Heading2"/>
        <w:spacing w:line="283" w:lineRule="auto" w:after="120"/>
        <w:jc w:val="right"/>
        <w:keepNext/>
        <w:bidi/>
      </w:pPr>
      <w:r>
        <w:t>الملف 19: الرجم وآية مزعومة منسوخة التلاوة</w:t>
      </w:r>
    </w:p>
    <w:p>
      <w:pPr>
        <w:spacing w:line="283" w:lineRule="auto" w:after="80"/>
        <w:ind w:firstLine="397"/>
        <w:jc w:val="both"/>
        <w:bidi/>
      </w:pPr>
      <w:r>
        <w:t>موضع الدعوى: النص المركزي هو روايات آية الرجم، ويقارن بـالنور: 2. وقد اشتهر في بعض كتب الناسخ والمنسوخ أو التفسير تصور مفاده: نسخ تلاوة وبقاء حكم.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مشكلة الثبوت والحفظ وحجية أخبار الآحاد.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دعوى عالية الأثر لا تكفيها الروايات غير الموازية للقرآن المتلو.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النور: 2</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روايات آية الرجم</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نسخ تلاوة وبقاء حكم</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مشكلة الثبوت والحفظ وحجية أخبار الآحاد</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دعوى عالية الأثر لا تكفيها الروايات غير الموازية للقرآن المتلو</w:t>
            </w:r>
          </w:p>
        </w:tc>
      </w:tr>
    </w:tbl>
    <w:p>
      <w:pPr>
        <w:pStyle w:val="Heading2"/>
        <w:spacing w:line="283" w:lineRule="auto" w:after="120"/>
        <w:jc w:val="right"/>
        <w:keepNext/>
        <w:bidi/>
      </w:pPr>
      <w:r>
        <w:t>الملف 20: رضاع الكبير أو التحريم بالرواية</w:t>
      </w:r>
    </w:p>
    <w:p>
      <w:pPr>
        <w:spacing w:line="283" w:lineRule="auto" w:after="80"/>
        <w:ind w:firstLine="397"/>
        <w:jc w:val="both"/>
        <w:bidi/>
      </w:pPr>
      <w:r>
        <w:t>موضع الدعوى: النص المركزي هو روايات حديثية، ويقارن بـآيات الرضاع في البقرة والطلاق. وقد اشتهر في بعض كتب الناسخ والمنسوخ أو التفسير تصور مفاده: توسيع نسخ أو تخصيص قرآني بخبر.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تحرير السنة البيانية من الخبر الخاص وظروفه.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يثبت رفع عموم القرآن بخبر خاص محتمل.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آيات الرضاع في البقرة والطلاق</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روايات حديثية</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توسيع نسخ أو تخصيص قرآني بخبر</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تحرير السنة البيانية من الخبر الخاص وظروفه</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يثبت رفع عموم القرآن بخبر خاص محتمل</w:t>
            </w:r>
          </w:p>
        </w:tc>
      </w:tr>
    </w:tbl>
    <w:p>
      <w:pPr>
        <w:pStyle w:val="Heading2"/>
        <w:spacing w:line="283" w:lineRule="auto" w:after="120"/>
        <w:jc w:val="right"/>
        <w:keepNext/>
        <w:bidi/>
      </w:pPr>
      <w:r>
        <w:t>الملف 21: الصلاة حال الخوف</w:t>
      </w:r>
    </w:p>
    <w:p>
      <w:pPr>
        <w:spacing w:line="283" w:lineRule="auto" w:after="80"/>
        <w:ind w:firstLine="397"/>
        <w:jc w:val="both"/>
        <w:bidi/>
      </w:pPr>
      <w:r>
        <w:t>موضع الدعوى: النص المركزي هو النساء: 101-103، ويقارن بـأحكام الصلاة العامة. وقد اشتهر في بعض كتب الناسخ والمنسوخ أو التفسير تصور مفاده: دعوى نسخ أو استثناء.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النص يقرر حالة استثنائية مرتبطة بالخوف.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تخصيص حالة لا نسخ.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أحكام الصلاة العامة</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النساء: 101-103</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أو استثناء</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النص يقرر حالة استثنائية مرتبطة بالخوف</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تخصيص حالة لا نسخ</w:t>
            </w:r>
          </w:p>
        </w:tc>
      </w:tr>
    </w:tbl>
    <w:p>
      <w:pPr>
        <w:pStyle w:val="Heading2"/>
        <w:spacing w:line="283" w:lineRule="auto" w:after="120"/>
        <w:jc w:val="right"/>
        <w:keepNext/>
        <w:bidi/>
      </w:pPr>
      <w:r>
        <w:t>الملف 22: التهجد للنبي</w:t>
      </w:r>
    </w:p>
    <w:p>
      <w:pPr>
        <w:spacing w:line="283" w:lineRule="auto" w:after="80"/>
        <w:ind w:firstLine="397"/>
        <w:jc w:val="both"/>
        <w:bidi/>
      </w:pPr>
      <w:r>
        <w:t>موضع الدعوى: النص المركزي هو الإسراء: 79، ويقارن بـالمزمل: 20. وقد اشتهر في بعض كتب الناسخ والمنسوخ أو التفسير تصور مفاده: دعوى نسخ وجوب خاص.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خصوص خطاب النبي واختلاف أصل النافلة.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يثبت النسخ إلا بتحرير خصوص التكليف.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المزمل: 20</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الإسراء: 79</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وجوب خاص</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خصوص خطاب النبي واختلاف أصل النافلة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يثبت النسخ إلا بتحرير خصوص التكليف</w:t>
            </w:r>
          </w:p>
        </w:tc>
      </w:tr>
    </w:tbl>
    <w:p>
      <w:pPr>
        <w:pStyle w:val="Heading2"/>
        <w:spacing w:line="283" w:lineRule="auto" w:after="120"/>
        <w:jc w:val="right"/>
        <w:keepNext/>
        <w:bidi/>
      </w:pPr>
      <w:r>
        <w:t>الملف 23: أحكام الأسرى</w:t>
      </w:r>
    </w:p>
    <w:p>
      <w:pPr>
        <w:spacing w:line="283" w:lineRule="auto" w:after="80"/>
        <w:ind w:firstLine="397"/>
        <w:jc w:val="both"/>
        <w:bidi/>
      </w:pPr>
      <w:r>
        <w:t>موضع الدعوى: النص المركزي هو الأنفال: 67-70، ويقارن بـمحمد: 4. وقد اشتهر في بعض كتب الناسخ والمنسوخ أو التفسير تصور مفاده: دعوى نسخ أحدهما بالآخر.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اختلاف مراحل المعركة وما بعد الإثخان ووضع الحرب.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تنظيم لمراحل ومناطات متعددة أرجح من النسخ المطلق.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محمد: 4</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الأنفال: 67-70</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أحدهما بالآخر</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اختلاف مراحل المعركة وما بعد الإثخان ووضع الحرب</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تنظيم لمراحل ومناطات متعددة أرجح من النسخ المطلق</w:t>
            </w:r>
          </w:p>
        </w:tc>
      </w:tr>
    </w:tbl>
    <w:p>
      <w:pPr>
        <w:pStyle w:val="Heading2"/>
        <w:spacing w:line="283" w:lineRule="auto" w:after="120"/>
        <w:jc w:val="right"/>
        <w:keepNext/>
        <w:bidi/>
      </w:pPr>
      <w:r>
        <w:t>الملف 24: الموادعة والصلح</w:t>
      </w:r>
    </w:p>
    <w:p>
      <w:pPr>
        <w:spacing w:line="283" w:lineRule="auto" w:after="80"/>
        <w:ind w:firstLine="397"/>
        <w:jc w:val="both"/>
        <w:bidi/>
      </w:pPr>
      <w:r>
        <w:t>موضع الدعوى: النص المركزي هو الأنفال: 61، ويقارن بـالتوبة: 29. وقد اشتهر في بعض كتب الناسخ والمنسوخ أو التفسير تصور مفاده: دعوى نسخ السلم بالقتال. ولا يُعتمد هذا الوصف قبل تحرير وحدة الحكم ومجاله.</w:t>
      </w:r>
    </w:p>
    <w:p>
      <w:pPr>
        <w:spacing w:line="283" w:lineRule="auto" w:after="80"/>
        <w:ind w:firstLine="397"/>
        <w:jc w:val="both"/>
        <w:bidi/>
      </w:pPr>
      <w:r>
        <w:t>يبدأ الاختبار من النص نفسه: يُحرر العموم والخصوص والإطلاق والقيد والمخاطب والسياق ووظيفة الحكم. ثم يُفحص العامل الحاسم الآتي: اختلاف الطرف والعدوان والعهد والسلطة. فإذا فسرت هذه العناصر الاختلاف من غير رفع، انخفضت دعوى النسخ.</w:t>
      </w:r>
    </w:p>
    <w:p>
      <w:pPr>
        <w:spacing w:line="283" w:lineRule="auto" w:after="80"/>
        <w:ind w:firstLine="397"/>
        <w:jc w:val="both"/>
        <w:bidi/>
      </w:pPr>
      <w:r>
        <w:t>تُجمع بعد ذلك الروايات التاريخية وأقوال الصحابة والتابعين والمفسرين، ويُفصل استعمال لفظ «نسخ» عند المتقدمين من التعريف الأصولي الدقيق. فقد يطلق المتقدم النسخ ويريد التخصيص أو البيان أو الانتقال من حال إلى أخرى، ولا يجوز تحويل لفظه آلياً إلى حكم رفع كامل.</w:t>
      </w:r>
    </w:p>
    <w:p>
      <w:pPr>
        <w:spacing w:line="283" w:lineRule="auto" w:after="80"/>
        <w:ind w:firstLine="397"/>
        <w:jc w:val="both"/>
        <w:bidi/>
      </w:pPr>
      <w:r>
        <w:t>يُختبر التاريخ مستقلاً: هل ثبت أن النص المدعى ناسخ متأخر؟ وهل ثبت أن الحكم الأول كان عاماً ودائماً في المجال نفسه؟ وهل توجد آيات لاحقة أو موازية تدل على استمرار الحكم الأول في بعض الحالات؟ ويُخفض الحكم إذا كانت إحدى هذه الحلقات ظنيةً ظناً مؤثراً.</w:t>
      </w:r>
    </w:p>
    <w:p>
      <w:pPr>
        <w:spacing w:line="283" w:lineRule="auto" w:after="80"/>
        <w:ind w:firstLine="397"/>
        <w:jc w:val="both"/>
        <w:bidi/>
      </w:pPr>
      <w:r>
        <w:t>ويُختبر المآل العلمي لا المصلحة المجردة: هل يؤدي القول بالنسخ إلى إسقاط شبكة كبيرة من النصوص من غير ضرورة؟ وهل يحفظ البديلُ دلالات الآيات جميعاً بلا تكلف؟ ولا يُعد مجرد حفظ النصوص دليلاً إذا كان الجمع يخالف صراحة التاريخ أو الرفع.</w:t>
      </w:r>
    </w:p>
    <w:p>
      <w:pPr>
        <w:spacing w:line="283" w:lineRule="auto" w:after="80"/>
        <w:ind w:firstLine="397"/>
        <w:jc w:val="both"/>
        <w:bidi/>
      </w:pPr>
      <w:r>
        <w:t>الحكم البياني الأولي في هذا الملف: لا نسخ عام؛ السياق والمناط حاكمان. وهذه النتيجة ليست حكماً نهائياً خارج المدونة المفصلة، بل تصنيف منهجي يبين المسار الأرجح وما يحتاج إلى مزيد من تحقيق تاريخي وروائي.</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العنصر</w:t>
            </w:r>
          </w:p>
        </w:tc>
        <w:tc>
          <w:tcPr>
            <w:tcW w:type="dxa" w:w="3952"/>
          </w:tcPr>
          <w:p>
            <w:pPr>
              <w:spacing w:line="283" w:lineRule="auto" w:after="0"/>
              <w:jc w:val="center"/>
              <w:bidi/>
            </w:pPr>
            <w:r>
              <w:rPr>
                <w:b/>
                <w:sz w:val="19"/>
              </w:rPr>
              <w:t>النتيجة</w:t>
            </w:r>
          </w:p>
        </w:tc>
      </w:tr>
      <w:tr>
        <w:tc>
          <w:tcPr>
            <w:tcW w:type="dxa" w:w="3952"/>
          </w:tcPr>
          <w:p>
            <w:pPr>
              <w:spacing w:line="283" w:lineRule="auto" w:after="0"/>
              <w:jc w:val="right"/>
              <w:bidi/>
            </w:pPr>
            <w:r>
              <w:rPr>
                <w:sz w:val="19"/>
              </w:rPr>
              <w:t>النص السابق</w:t>
            </w:r>
          </w:p>
        </w:tc>
        <w:tc>
          <w:tcPr>
            <w:tcW w:type="dxa" w:w="3952"/>
          </w:tcPr>
          <w:p>
            <w:pPr>
              <w:spacing w:line="283" w:lineRule="auto" w:after="0"/>
              <w:jc w:val="right"/>
              <w:bidi/>
            </w:pPr>
            <w:r>
              <w:rPr>
                <w:sz w:val="19"/>
              </w:rPr>
              <w:t>التوبة: 29</w:t>
            </w:r>
          </w:p>
        </w:tc>
      </w:tr>
      <w:tr>
        <w:tc>
          <w:tcPr>
            <w:tcW w:type="dxa" w:w="3952"/>
          </w:tcPr>
          <w:p>
            <w:pPr>
              <w:spacing w:line="283" w:lineRule="auto" w:after="0"/>
              <w:jc w:val="right"/>
              <w:bidi/>
            </w:pPr>
            <w:r>
              <w:rPr>
                <w:sz w:val="19"/>
              </w:rPr>
              <w:t>النص المدعى ناسخاً</w:t>
            </w:r>
          </w:p>
        </w:tc>
        <w:tc>
          <w:tcPr>
            <w:tcW w:type="dxa" w:w="3952"/>
          </w:tcPr>
          <w:p>
            <w:pPr>
              <w:spacing w:line="283" w:lineRule="auto" w:after="0"/>
              <w:jc w:val="right"/>
              <w:bidi/>
            </w:pPr>
            <w:r>
              <w:rPr>
                <w:sz w:val="19"/>
              </w:rPr>
              <w:t>الأنفال: 61</w:t>
            </w:r>
          </w:p>
        </w:tc>
      </w:tr>
      <w:tr>
        <w:tc>
          <w:tcPr>
            <w:tcW w:type="dxa" w:w="3952"/>
          </w:tcPr>
          <w:p>
            <w:pPr>
              <w:spacing w:line="283" w:lineRule="auto" w:after="0"/>
              <w:jc w:val="right"/>
              <w:bidi/>
            </w:pPr>
            <w:r>
              <w:rPr>
                <w:sz w:val="19"/>
              </w:rPr>
              <w:t>الدعوى التراثية</w:t>
            </w:r>
          </w:p>
        </w:tc>
        <w:tc>
          <w:tcPr>
            <w:tcW w:type="dxa" w:w="3952"/>
          </w:tcPr>
          <w:p>
            <w:pPr>
              <w:spacing w:line="283" w:lineRule="auto" w:after="0"/>
              <w:jc w:val="right"/>
              <w:bidi/>
            </w:pPr>
            <w:r>
              <w:rPr>
                <w:sz w:val="19"/>
              </w:rPr>
              <w:t>دعوى نسخ السلم بالقتال</w:t>
            </w:r>
          </w:p>
        </w:tc>
      </w:tr>
      <w:tr>
        <w:tc>
          <w:tcPr>
            <w:tcW w:type="dxa" w:w="3952"/>
          </w:tcPr>
          <w:p>
            <w:pPr>
              <w:spacing w:line="283" w:lineRule="auto" w:after="0"/>
              <w:jc w:val="right"/>
              <w:bidi/>
            </w:pPr>
            <w:r>
              <w:rPr>
                <w:sz w:val="19"/>
              </w:rPr>
              <w:t>اختبار الضغط</w:t>
            </w:r>
          </w:p>
        </w:tc>
        <w:tc>
          <w:tcPr>
            <w:tcW w:type="dxa" w:w="3952"/>
          </w:tcPr>
          <w:p>
            <w:pPr>
              <w:spacing w:line="283" w:lineRule="auto" w:after="0"/>
              <w:jc w:val="right"/>
              <w:bidi/>
            </w:pPr>
            <w:r>
              <w:rPr>
                <w:sz w:val="19"/>
              </w:rPr>
              <w:t>اختلاف الطرف والعدوان والعهد والسلطة</w:t>
            </w:r>
          </w:p>
        </w:tc>
      </w:tr>
      <w:tr>
        <w:tc>
          <w:tcPr>
            <w:tcW w:type="dxa" w:w="3952"/>
          </w:tcPr>
          <w:p>
            <w:pPr>
              <w:spacing w:line="283" w:lineRule="auto" w:after="0"/>
              <w:jc w:val="right"/>
              <w:bidi/>
            </w:pPr>
            <w:r>
              <w:rPr>
                <w:sz w:val="19"/>
              </w:rPr>
              <w:t>التقدير البياني</w:t>
            </w:r>
          </w:p>
        </w:tc>
        <w:tc>
          <w:tcPr>
            <w:tcW w:type="dxa" w:w="3952"/>
          </w:tcPr>
          <w:p>
            <w:pPr>
              <w:spacing w:line="283" w:lineRule="auto" w:after="0"/>
              <w:jc w:val="right"/>
              <w:bidi/>
            </w:pPr>
            <w:r>
              <w:rPr>
                <w:sz w:val="19"/>
              </w:rPr>
              <w:t>لا نسخ عام؛ السياق والمناط حاكمان</w:t>
            </w:r>
          </w:p>
        </w:tc>
      </w:tr>
    </w:tbl>
    <w:p>
      <w:pPr>
        <w:pStyle w:val="Heading1"/>
        <w:spacing w:line="283" w:lineRule="auto" w:after="120"/>
        <w:jc w:val="right"/>
        <w:keepNext/>
        <w:bidi/>
      </w:pPr>
      <w:r>
        <w:t>معيار إثبات النسخ: اختبار الاثني عشر شرطاً</w:t>
      </w:r>
    </w:p>
    <w:tbl>
      <w:tblPr>
        <w:tblStyle w:val="TableGrid"/>
        <w:tblW w:type="auto" w:w="0"/>
        <w:jc w:val="center"/>
        <w:tblLook w:firstColumn="1" w:firstRow="1" w:lastColumn="0" w:lastRow="0" w:noHBand="0" w:noVBand="1" w:val="04A0"/>
      </w:tblPr>
      <w:tblGrid>
        <w:gridCol w:w="3952"/>
        <w:gridCol w:w="3952"/>
      </w:tblGrid>
      <w:tr>
        <w:tc>
          <w:tcPr>
            <w:tcW w:type="dxa" w:w="3952"/>
          </w:tcPr>
          <w:p>
            <w:pPr>
              <w:spacing w:line="283" w:lineRule="auto" w:after="0"/>
              <w:jc w:val="center"/>
              <w:bidi/>
            </w:pPr>
            <w:r>
              <w:rPr>
                <w:b/>
                <w:sz w:val="19"/>
              </w:rPr>
              <w:t>الشرط</w:t>
            </w:r>
          </w:p>
        </w:tc>
        <w:tc>
          <w:tcPr>
            <w:tcW w:type="dxa" w:w="3952"/>
          </w:tcPr>
          <w:p>
            <w:pPr>
              <w:spacing w:line="283" w:lineRule="auto" w:after="0"/>
              <w:jc w:val="center"/>
              <w:bidi/>
            </w:pPr>
            <w:r>
              <w:rPr>
                <w:b/>
                <w:sz w:val="19"/>
              </w:rPr>
              <w:t>معناه</w:t>
            </w:r>
          </w:p>
        </w:tc>
      </w:tr>
      <w:tr>
        <w:tc>
          <w:tcPr>
            <w:tcW w:type="dxa" w:w="3952"/>
          </w:tcPr>
          <w:p>
            <w:pPr>
              <w:spacing w:line="283" w:lineRule="auto" w:after="0"/>
              <w:jc w:val="right"/>
              <w:bidi/>
            </w:pPr>
            <w:r>
              <w:rPr>
                <w:sz w:val="19"/>
              </w:rPr>
              <w:t>وحدة الحكم</w:t>
            </w:r>
          </w:p>
        </w:tc>
        <w:tc>
          <w:tcPr>
            <w:tcW w:type="dxa" w:w="3952"/>
          </w:tcPr>
          <w:p>
            <w:pPr>
              <w:spacing w:line="283" w:lineRule="auto" w:after="0"/>
              <w:jc w:val="right"/>
              <w:bidi/>
            </w:pPr>
            <w:r>
              <w:rPr>
                <w:sz w:val="19"/>
              </w:rPr>
              <w:t>أن يكون النصان في حكم واحد لا موضوعين مختلفين.</w:t>
            </w:r>
          </w:p>
        </w:tc>
      </w:tr>
      <w:tr>
        <w:tc>
          <w:tcPr>
            <w:tcW w:type="dxa" w:w="3952"/>
          </w:tcPr>
          <w:p>
            <w:pPr>
              <w:spacing w:line="283" w:lineRule="auto" w:after="0"/>
              <w:jc w:val="right"/>
              <w:bidi/>
            </w:pPr>
            <w:r>
              <w:rPr>
                <w:sz w:val="19"/>
              </w:rPr>
              <w:t>وحدة المجال</w:t>
            </w:r>
          </w:p>
        </w:tc>
        <w:tc>
          <w:tcPr>
            <w:tcW w:type="dxa" w:w="3952"/>
          </w:tcPr>
          <w:p>
            <w:pPr>
              <w:spacing w:line="283" w:lineRule="auto" w:after="0"/>
              <w:jc w:val="right"/>
              <w:bidi/>
            </w:pPr>
            <w:r>
              <w:rPr>
                <w:sz w:val="19"/>
              </w:rPr>
              <w:t>أن يتناولا المجال نفسه لا حالتين أو سلطتين مختلفتين.</w:t>
            </w:r>
          </w:p>
        </w:tc>
      </w:tr>
      <w:tr>
        <w:tc>
          <w:tcPr>
            <w:tcW w:type="dxa" w:w="3952"/>
          </w:tcPr>
          <w:p>
            <w:pPr>
              <w:spacing w:line="283" w:lineRule="auto" w:after="0"/>
              <w:jc w:val="right"/>
              <w:bidi/>
            </w:pPr>
            <w:r>
              <w:rPr>
                <w:sz w:val="19"/>
              </w:rPr>
              <w:t>وحدة المخاطب</w:t>
            </w:r>
          </w:p>
        </w:tc>
        <w:tc>
          <w:tcPr>
            <w:tcW w:type="dxa" w:w="3952"/>
          </w:tcPr>
          <w:p>
            <w:pPr>
              <w:spacing w:line="283" w:lineRule="auto" w:after="0"/>
              <w:jc w:val="right"/>
              <w:bidi/>
            </w:pPr>
            <w:r>
              <w:rPr>
                <w:sz w:val="19"/>
              </w:rPr>
              <w:t>أن لا يزول التعارض باختلاف المخاطب.</w:t>
            </w:r>
          </w:p>
        </w:tc>
      </w:tr>
      <w:tr>
        <w:tc>
          <w:tcPr>
            <w:tcW w:type="dxa" w:w="3952"/>
          </w:tcPr>
          <w:p>
            <w:pPr>
              <w:spacing w:line="283" w:lineRule="auto" w:after="0"/>
              <w:jc w:val="right"/>
              <w:bidi/>
            </w:pPr>
            <w:r>
              <w:rPr>
                <w:sz w:val="19"/>
              </w:rPr>
              <w:t>وحدة الزمن التطبيقي</w:t>
            </w:r>
          </w:p>
        </w:tc>
        <w:tc>
          <w:tcPr>
            <w:tcW w:type="dxa" w:w="3952"/>
          </w:tcPr>
          <w:p>
            <w:pPr>
              <w:spacing w:line="283" w:lineRule="auto" w:after="0"/>
              <w:jc w:val="right"/>
              <w:bidi/>
            </w:pPr>
            <w:r>
              <w:rPr>
                <w:sz w:val="19"/>
              </w:rPr>
              <w:t>أن يكون التعارض في زمن يمكن فيه اجتماع الحكمين.</w:t>
            </w:r>
          </w:p>
        </w:tc>
      </w:tr>
      <w:tr>
        <w:tc>
          <w:tcPr>
            <w:tcW w:type="dxa" w:w="3952"/>
          </w:tcPr>
          <w:p>
            <w:pPr>
              <w:spacing w:line="283" w:lineRule="auto" w:after="0"/>
              <w:jc w:val="right"/>
              <w:bidi/>
            </w:pPr>
            <w:r>
              <w:rPr>
                <w:sz w:val="19"/>
              </w:rPr>
              <w:t>ثبوت النصين</w:t>
            </w:r>
          </w:p>
        </w:tc>
        <w:tc>
          <w:tcPr>
            <w:tcW w:type="dxa" w:w="3952"/>
          </w:tcPr>
          <w:p>
            <w:pPr>
              <w:spacing w:line="283" w:lineRule="auto" w:after="0"/>
              <w:jc w:val="right"/>
              <w:bidi/>
            </w:pPr>
            <w:r>
              <w:rPr>
                <w:sz w:val="19"/>
              </w:rPr>
              <w:t>أن تكون القراءة والنسبة ثابتتين بحسب مرتبتهما.</w:t>
            </w:r>
          </w:p>
        </w:tc>
      </w:tr>
      <w:tr>
        <w:tc>
          <w:tcPr>
            <w:tcW w:type="dxa" w:w="3952"/>
          </w:tcPr>
          <w:p>
            <w:pPr>
              <w:spacing w:line="283" w:lineRule="auto" w:after="0"/>
              <w:jc w:val="right"/>
              <w:bidi/>
            </w:pPr>
            <w:r>
              <w:rPr>
                <w:sz w:val="19"/>
              </w:rPr>
              <w:t>ثبوت التاريخ</w:t>
            </w:r>
          </w:p>
        </w:tc>
        <w:tc>
          <w:tcPr>
            <w:tcW w:type="dxa" w:w="3952"/>
          </w:tcPr>
          <w:p>
            <w:pPr>
              <w:spacing w:line="283" w:lineRule="auto" w:after="0"/>
              <w:jc w:val="right"/>
              <w:bidi/>
            </w:pPr>
            <w:r>
              <w:rPr>
                <w:sz w:val="19"/>
              </w:rPr>
              <w:t>أن يعرف المتقدم والمتأخر بدرجة معتبرة.</w:t>
            </w:r>
          </w:p>
        </w:tc>
      </w:tr>
      <w:tr>
        <w:tc>
          <w:tcPr>
            <w:tcW w:type="dxa" w:w="3952"/>
          </w:tcPr>
          <w:p>
            <w:pPr>
              <w:spacing w:line="283" w:lineRule="auto" w:after="0"/>
              <w:jc w:val="right"/>
              <w:bidi/>
            </w:pPr>
            <w:r>
              <w:rPr>
                <w:sz w:val="19"/>
              </w:rPr>
              <w:t>دلالة الرفع</w:t>
            </w:r>
          </w:p>
        </w:tc>
        <w:tc>
          <w:tcPr>
            <w:tcW w:type="dxa" w:w="3952"/>
          </w:tcPr>
          <w:p>
            <w:pPr>
              <w:spacing w:line="283" w:lineRule="auto" w:after="0"/>
              <w:jc w:val="right"/>
              <w:bidi/>
            </w:pPr>
            <w:r>
              <w:rPr>
                <w:sz w:val="19"/>
              </w:rPr>
              <w:t>أن يدل اللاحق على رفع السابق لا مجرد إضافة حكم.</w:t>
            </w:r>
          </w:p>
        </w:tc>
      </w:tr>
      <w:tr>
        <w:tc>
          <w:tcPr>
            <w:tcW w:type="dxa" w:w="3952"/>
          </w:tcPr>
          <w:p>
            <w:pPr>
              <w:spacing w:line="283" w:lineRule="auto" w:after="0"/>
              <w:jc w:val="right"/>
              <w:bidi/>
            </w:pPr>
            <w:r>
              <w:rPr>
                <w:sz w:val="19"/>
              </w:rPr>
              <w:t>تعذر الجمع</w:t>
            </w:r>
          </w:p>
        </w:tc>
        <w:tc>
          <w:tcPr>
            <w:tcW w:type="dxa" w:w="3952"/>
          </w:tcPr>
          <w:p>
            <w:pPr>
              <w:spacing w:line="283" w:lineRule="auto" w:after="0"/>
              <w:jc w:val="right"/>
              <w:bidi/>
            </w:pPr>
            <w:r>
              <w:rPr>
                <w:sz w:val="19"/>
              </w:rPr>
              <w:t>أن يفشل الجمع غير المتكلف.</w:t>
            </w:r>
          </w:p>
        </w:tc>
      </w:tr>
      <w:tr>
        <w:tc>
          <w:tcPr>
            <w:tcW w:type="dxa" w:w="3952"/>
          </w:tcPr>
          <w:p>
            <w:pPr>
              <w:spacing w:line="283" w:lineRule="auto" w:after="0"/>
              <w:jc w:val="right"/>
              <w:bidi/>
            </w:pPr>
            <w:r>
              <w:rPr>
                <w:sz w:val="19"/>
              </w:rPr>
              <w:t>تعذر التخصيص</w:t>
            </w:r>
          </w:p>
        </w:tc>
        <w:tc>
          <w:tcPr>
            <w:tcW w:type="dxa" w:w="3952"/>
          </w:tcPr>
          <w:p>
            <w:pPr>
              <w:spacing w:line="283" w:lineRule="auto" w:after="0"/>
              <w:jc w:val="right"/>
              <w:bidi/>
            </w:pPr>
            <w:r>
              <w:rPr>
                <w:sz w:val="19"/>
              </w:rPr>
              <w:t>أن لا يكون اللاحق مخصصاً للعام.</w:t>
            </w:r>
          </w:p>
        </w:tc>
      </w:tr>
      <w:tr>
        <w:tc>
          <w:tcPr>
            <w:tcW w:type="dxa" w:w="3952"/>
          </w:tcPr>
          <w:p>
            <w:pPr>
              <w:spacing w:line="283" w:lineRule="auto" w:after="0"/>
              <w:jc w:val="right"/>
              <w:bidi/>
            </w:pPr>
            <w:r>
              <w:rPr>
                <w:sz w:val="19"/>
              </w:rPr>
              <w:t>تعذر التقييد</w:t>
            </w:r>
          </w:p>
        </w:tc>
        <w:tc>
          <w:tcPr>
            <w:tcW w:type="dxa" w:w="3952"/>
          </w:tcPr>
          <w:p>
            <w:pPr>
              <w:spacing w:line="283" w:lineRule="auto" w:after="0"/>
              <w:jc w:val="right"/>
              <w:bidi/>
            </w:pPr>
            <w:r>
              <w:rPr>
                <w:sz w:val="19"/>
              </w:rPr>
              <w:t>أن لا يكون اللاحق مقيداً للمطلق.</w:t>
            </w:r>
          </w:p>
        </w:tc>
      </w:tr>
      <w:tr>
        <w:tc>
          <w:tcPr>
            <w:tcW w:type="dxa" w:w="3952"/>
          </w:tcPr>
          <w:p>
            <w:pPr>
              <w:spacing w:line="283" w:lineRule="auto" w:after="0"/>
              <w:jc w:val="right"/>
              <w:bidi/>
            </w:pPr>
            <w:r>
              <w:rPr>
                <w:sz w:val="19"/>
              </w:rPr>
              <w:t>تعذر تفسير التدرج أو المناط</w:t>
            </w:r>
          </w:p>
        </w:tc>
        <w:tc>
          <w:tcPr>
            <w:tcW w:type="dxa" w:w="3952"/>
          </w:tcPr>
          <w:p>
            <w:pPr>
              <w:spacing w:line="283" w:lineRule="auto" w:after="0"/>
              <w:jc w:val="right"/>
              <w:bidi/>
            </w:pPr>
            <w:r>
              <w:rPr>
                <w:sz w:val="19"/>
              </w:rPr>
              <w:t>أن لا يفسر الاختلاف بمرحلة أو شرط أو تغير واقع.</w:t>
            </w:r>
          </w:p>
        </w:tc>
      </w:tr>
      <w:tr>
        <w:tc>
          <w:tcPr>
            <w:tcW w:type="dxa" w:w="3952"/>
          </w:tcPr>
          <w:p>
            <w:pPr>
              <w:spacing w:line="283" w:lineRule="auto" w:after="0"/>
              <w:jc w:val="right"/>
              <w:bidi/>
            </w:pPr>
            <w:r>
              <w:rPr>
                <w:sz w:val="19"/>
              </w:rPr>
              <w:t>المراجعة المستقلة</w:t>
            </w:r>
          </w:p>
        </w:tc>
        <w:tc>
          <w:tcPr>
            <w:tcW w:type="dxa" w:w="3952"/>
          </w:tcPr>
          <w:p>
            <w:pPr>
              <w:spacing w:line="283" w:lineRule="auto" w:after="0"/>
              <w:jc w:val="right"/>
              <w:bidi/>
            </w:pPr>
            <w:r>
              <w:rPr>
                <w:sz w:val="19"/>
              </w:rPr>
              <w:t>أن تصمد الدعوى أمام قراءة منافسة ومراجع مستقل.</w:t>
            </w:r>
          </w:p>
        </w:tc>
      </w:tr>
    </w:tbl>
    <w:p>
      <w:pPr>
        <w:spacing w:line="283" w:lineRule="auto" w:after="80"/>
        <w:ind w:firstLine="397"/>
        <w:jc w:val="both"/>
        <w:bidi/>
      </w:pPr>
      <w:r>
        <w:t>الشرط 1: وحدة الحكم. أن يكون النصان في حكم واحد لا موضوعين مختلفين.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2: وحدة المجال. أن يتناولا المجال نفسه لا حالتين أو سلطتين مختلفتين.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3: وحدة المخاطب. أن لا يزول التعارض باختلاف المخاطب.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4: وحدة الزمن التطبيقي. أن يكون التعارض في زمن يمكن فيه اجتماع الحكمين.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5: ثبوت النصين. أن تكون القراءة والنسبة ثابتتين بحسب مرتبتهما.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6: ثبوت التاريخ. أن يعرف المتقدم والمتأخر بدرجة معتبرة.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7: دلالة الرفع. أن يدل اللاحق على رفع السابق لا مجرد إضافة حكم.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8: تعذر الجمع. أن يفشل الجمع غير المتكلف.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9: تعذر التخصيص. أن لا يكون اللاحق مخصصاً للعام.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10: تعذر التقييد. أن لا يكون اللاحق مقيداً للمطلق.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11: تعذر تفسير التدرج أو المناط. أن لا يفسر الاختلاف بمرحلة أو شرط أو تغير واقع. وإذا أخفق الملف في هذا الشرط، فلا تُرفض دعوى النسخ دائماً آلياً، لكن يجب بيان لماذا لا يؤثر الإخفاق أو خفض درجة النتيجة بما يناسبه.</w:t>
      </w:r>
    </w:p>
    <w:p>
      <w:pPr>
        <w:spacing w:line="283" w:lineRule="auto" w:after="80"/>
        <w:ind w:firstLine="397"/>
        <w:jc w:val="both"/>
        <w:bidi/>
      </w:pPr>
      <w:r>
        <w:t>الشرط 12: المراجعة المستقلة. أن تصمد الدعوى أمام قراءة منافسة ومراجع مستقل. وإذا أخفق الملف في هذا الشرط، فلا تُرفض دعوى النسخ دائماً آلياً، لكن يجب بيان لماذا لا يؤثر الإخفاق أو خفض درجة النتيجة بما يناسبه.</w:t>
      </w:r>
    </w:p>
    <w:p>
      <w:pPr>
        <w:pStyle w:val="Heading1"/>
        <w:spacing w:line="283" w:lineRule="auto" w:after="120"/>
        <w:jc w:val="right"/>
        <w:keepNext/>
        <w:bidi/>
      </w:pPr>
      <w:r>
        <w:t>مقارنة منهجية بين النسخ والتخصيص والتقييد والتدرج وتغير المناط</w:t>
      </w:r>
    </w:p>
    <w:tbl>
      <w:tblPr>
        <w:tblStyle w:val="TableGrid"/>
        <w:tblW w:type="auto" w:w="0"/>
        <w:jc w:val="center"/>
        <w:tblLook w:firstColumn="1" w:firstRow="1" w:lastColumn="0" w:lastRow="0" w:noHBand="0" w:noVBand="1" w:val="04A0"/>
      </w:tblPr>
      <w:tblGrid>
        <w:gridCol w:w="1976"/>
        <w:gridCol w:w="1976"/>
        <w:gridCol w:w="1976"/>
        <w:gridCol w:w="1976"/>
      </w:tblGrid>
      <w:tr>
        <w:tc>
          <w:tcPr>
            <w:tcW w:type="dxa" w:w="1976"/>
          </w:tcPr>
          <w:p>
            <w:pPr>
              <w:spacing w:line="283" w:lineRule="auto" w:after="0"/>
              <w:jc w:val="center"/>
              <w:bidi/>
            </w:pPr>
            <w:r>
              <w:rPr>
                <w:b/>
                <w:sz w:val="18"/>
              </w:rPr>
              <w:t>العلاقة</w:t>
            </w:r>
          </w:p>
        </w:tc>
        <w:tc>
          <w:tcPr>
            <w:tcW w:type="dxa" w:w="1976"/>
          </w:tcPr>
          <w:p>
            <w:pPr>
              <w:spacing w:line="283" w:lineRule="auto" w:after="0"/>
              <w:jc w:val="center"/>
              <w:bidi/>
            </w:pPr>
            <w:r>
              <w:rPr>
                <w:b/>
                <w:sz w:val="18"/>
              </w:rPr>
              <w:t>ما يتغير</w:t>
            </w:r>
          </w:p>
        </w:tc>
        <w:tc>
          <w:tcPr>
            <w:tcW w:type="dxa" w:w="1976"/>
          </w:tcPr>
          <w:p>
            <w:pPr>
              <w:spacing w:line="283" w:lineRule="auto" w:after="0"/>
              <w:jc w:val="center"/>
              <w:bidi/>
            </w:pPr>
            <w:r>
              <w:rPr>
                <w:b/>
                <w:sz w:val="18"/>
              </w:rPr>
              <w:t>الدليل المطلوب</w:t>
            </w:r>
          </w:p>
        </w:tc>
        <w:tc>
          <w:tcPr>
            <w:tcW w:type="dxa" w:w="1976"/>
          </w:tcPr>
          <w:p>
            <w:pPr>
              <w:spacing w:line="283" w:lineRule="auto" w:after="0"/>
              <w:jc w:val="center"/>
              <w:bidi/>
            </w:pPr>
            <w:r>
              <w:rPr>
                <w:b/>
                <w:sz w:val="18"/>
              </w:rPr>
              <w:t>ما يبقى</w:t>
            </w:r>
          </w:p>
        </w:tc>
      </w:tr>
      <w:tr>
        <w:tc>
          <w:tcPr>
            <w:tcW w:type="dxa" w:w="1976"/>
          </w:tcPr>
          <w:p>
            <w:pPr>
              <w:spacing w:line="283" w:lineRule="auto" w:after="0"/>
              <w:jc w:val="right"/>
              <w:bidi/>
            </w:pPr>
            <w:r>
              <w:rPr>
                <w:sz w:val="18"/>
              </w:rPr>
              <w:t>النسخ</w:t>
            </w:r>
          </w:p>
        </w:tc>
        <w:tc>
          <w:tcPr>
            <w:tcW w:type="dxa" w:w="1976"/>
          </w:tcPr>
          <w:p>
            <w:pPr>
              <w:spacing w:line="283" w:lineRule="auto" w:after="0"/>
              <w:jc w:val="right"/>
              <w:bidi/>
            </w:pPr>
            <w:r>
              <w:rPr>
                <w:sz w:val="18"/>
              </w:rPr>
              <w:t>يرفع الحكم السابق في مجاله</w:t>
            </w:r>
          </w:p>
        </w:tc>
        <w:tc>
          <w:tcPr>
            <w:tcW w:type="dxa" w:w="1976"/>
          </w:tcPr>
          <w:p>
            <w:pPr>
              <w:spacing w:line="283" w:lineRule="auto" w:after="0"/>
              <w:jc w:val="right"/>
              <w:bidi/>
            </w:pPr>
            <w:r>
              <w:rPr>
                <w:sz w:val="18"/>
              </w:rPr>
              <w:t>يحتاج إلى تاريخ ودلالة رفع</w:t>
            </w:r>
          </w:p>
        </w:tc>
        <w:tc>
          <w:tcPr>
            <w:tcW w:type="dxa" w:w="1976"/>
          </w:tcPr>
          <w:p>
            <w:pPr>
              <w:spacing w:line="283" w:lineRule="auto" w:after="0"/>
              <w:jc w:val="right"/>
              <w:bidi/>
            </w:pPr>
            <w:r>
              <w:rPr>
                <w:sz w:val="18"/>
              </w:rPr>
              <w:t>لا يبقى الحكم السابق في المجال المنسوخ</w:t>
            </w:r>
          </w:p>
        </w:tc>
      </w:tr>
      <w:tr>
        <w:tc>
          <w:tcPr>
            <w:tcW w:type="dxa" w:w="1976"/>
          </w:tcPr>
          <w:p>
            <w:pPr>
              <w:spacing w:line="283" w:lineRule="auto" w:after="0"/>
              <w:jc w:val="right"/>
              <w:bidi/>
            </w:pPr>
            <w:r>
              <w:rPr>
                <w:sz w:val="18"/>
              </w:rPr>
              <w:t>التخصيص</w:t>
            </w:r>
          </w:p>
        </w:tc>
        <w:tc>
          <w:tcPr>
            <w:tcW w:type="dxa" w:w="1976"/>
          </w:tcPr>
          <w:p>
            <w:pPr>
              <w:spacing w:line="283" w:lineRule="auto" w:after="0"/>
              <w:jc w:val="right"/>
              <w:bidi/>
            </w:pPr>
            <w:r>
              <w:rPr>
                <w:sz w:val="18"/>
              </w:rPr>
              <w:t>يخرج بعض أفراد العام</w:t>
            </w:r>
          </w:p>
        </w:tc>
        <w:tc>
          <w:tcPr>
            <w:tcW w:type="dxa" w:w="1976"/>
          </w:tcPr>
          <w:p>
            <w:pPr>
              <w:spacing w:line="283" w:lineRule="auto" w:after="0"/>
              <w:jc w:val="right"/>
              <w:bidi/>
            </w:pPr>
            <w:r>
              <w:rPr>
                <w:sz w:val="18"/>
              </w:rPr>
              <w:t>يحتاج إلى مخصص معتبر</w:t>
            </w:r>
          </w:p>
        </w:tc>
        <w:tc>
          <w:tcPr>
            <w:tcW w:type="dxa" w:w="1976"/>
          </w:tcPr>
          <w:p>
            <w:pPr>
              <w:spacing w:line="283" w:lineRule="auto" w:after="0"/>
              <w:jc w:val="right"/>
              <w:bidi/>
            </w:pPr>
            <w:r>
              <w:rPr>
                <w:sz w:val="18"/>
              </w:rPr>
              <w:t>يبقى العام في الباقي</w:t>
            </w:r>
          </w:p>
        </w:tc>
      </w:tr>
      <w:tr>
        <w:tc>
          <w:tcPr>
            <w:tcW w:type="dxa" w:w="1976"/>
          </w:tcPr>
          <w:p>
            <w:pPr>
              <w:spacing w:line="283" w:lineRule="auto" w:after="0"/>
              <w:jc w:val="right"/>
              <w:bidi/>
            </w:pPr>
            <w:r>
              <w:rPr>
                <w:sz w:val="18"/>
              </w:rPr>
              <w:t>التقييد</w:t>
            </w:r>
          </w:p>
        </w:tc>
        <w:tc>
          <w:tcPr>
            <w:tcW w:type="dxa" w:w="1976"/>
          </w:tcPr>
          <w:p>
            <w:pPr>
              <w:spacing w:line="283" w:lineRule="auto" w:after="0"/>
              <w:jc w:val="right"/>
              <w:bidi/>
            </w:pPr>
            <w:r>
              <w:rPr>
                <w:sz w:val="18"/>
              </w:rPr>
              <w:t>يحدد المطلق بوصف أو شرط</w:t>
            </w:r>
          </w:p>
        </w:tc>
        <w:tc>
          <w:tcPr>
            <w:tcW w:type="dxa" w:w="1976"/>
          </w:tcPr>
          <w:p>
            <w:pPr>
              <w:spacing w:line="283" w:lineRule="auto" w:after="0"/>
              <w:jc w:val="right"/>
              <w:bidi/>
            </w:pPr>
            <w:r>
              <w:rPr>
                <w:sz w:val="18"/>
              </w:rPr>
              <w:t>يحتاج إلى علاقة دلالية معتبرة</w:t>
            </w:r>
          </w:p>
        </w:tc>
        <w:tc>
          <w:tcPr>
            <w:tcW w:type="dxa" w:w="1976"/>
          </w:tcPr>
          <w:p>
            <w:pPr>
              <w:spacing w:line="283" w:lineRule="auto" w:after="0"/>
              <w:jc w:val="right"/>
              <w:bidi/>
            </w:pPr>
            <w:r>
              <w:rPr>
                <w:sz w:val="18"/>
              </w:rPr>
              <w:t>يبقى الحكم مع القيد</w:t>
            </w:r>
          </w:p>
        </w:tc>
      </w:tr>
      <w:tr>
        <w:tc>
          <w:tcPr>
            <w:tcW w:type="dxa" w:w="1976"/>
          </w:tcPr>
          <w:p>
            <w:pPr>
              <w:spacing w:line="283" w:lineRule="auto" w:after="0"/>
              <w:jc w:val="right"/>
              <w:bidi/>
            </w:pPr>
            <w:r>
              <w:rPr>
                <w:sz w:val="18"/>
              </w:rPr>
              <w:t>التدرج</w:t>
            </w:r>
          </w:p>
        </w:tc>
        <w:tc>
          <w:tcPr>
            <w:tcW w:type="dxa" w:w="1976"/>
          </w:tcPr>
          <w:p>
            <w:pPr>
              <w:spacing w:line="283" w:lineRule="auto" w:after="0"/>
              <w:jc w:val="right"/>
              <w:bidi/>
            </w:pPr>
            <w:r>
              <w:rPr>
                <w:sz w:val="18"/>
              </w:rPr>
              <w:t>ينقل الجماعة أو التكليف بين مراحل</w:t>
            </w:r>
          </w:p>
        </w:tc>
        <w:tc>
          <w:tcPr>
            <w:tcW w:type="dxa" w:w="1976"/>
          </w:tcPr>
          <w:p>
            <w:pPr>
              <w:spacing w:line="283" w:lineRule="auto" w:after="0"/>
              <w:jc w:val="right"/>
              <w:bidi/>
            </w:pPr>
            <w:r>
              <w:rPr>
                <w:sz w:val="18"/>
              </w:rPr>
              <w:t>يحتاج إلى تاريخ وغاية مرحلية</w:t>
            </w:r>
          </w:p>
        </w:tc>
        <w:tc>
          <w:tcPr>
            <w:tcW w:type="dxa" w:w="1976"/>
          </w:tcPr>
          <w:p>
            <w:pPr>
              <w:spacing w:line="283" w:lineRule="auto" w:after="0"/>
              <w:jc w:val="right"/>
              <w:bidi/>
            </w:pPr>
            <w:r>
              <w:rPr>
                <w:sz w:val="18"/>
              </w:rPr>
              <w:t>قد يحفظ المعنى السابق بوصفه مرحلة لا حكماً نهائياً</w:t>
            </w:r>
          </w:p>
        </w:tc>
      </w:tr>
      <w:tr>
        <w:tc>
          <w:tcPr>
            <w:tcW w:type="dxa" w:w="1976"/>
          </w:tcPr>
          <w:p>
            <w:pPr>
              <w:spacing w:line="283" w:lineRule="auto" w:after="0"/>
              <w:jc w:val="right"/>
              <w:bidi/>
            </w:pPr>
            <w:r>
              <w:rPr>
                <w:sz w:val="18"/>
              </w:rPr>
              <w:t>تغير المناط</w:t>
            </w:r>
          </w:p>
        </w:tc>
        <w:tc>
          <w:tcPr>
            <w:tcW w:type="dxa" w:w="1976"/>
          </w:tcPr>
          <w:p>
            <w:pPr>
              <w:spacing w:line="283" w:lineRule="auto" w:after="0"/>
              <w:jc w:val="right"/>
              <w:bidi/>
            </w:pPr>
            <w:r>
              <w:rPr>
                <w:sz w:val="18"/>
              </w:rPr>
              <w:t>يتغير الواقع الذي ينطبق عليه الحكم</w:t>
            </w:r>
          </w:p>
        </w:tc>
        <w:tc>
          <w:tcPr>
            <w:tcW w:type="dxa" w:w="1976"/>
          </w:tcPr>
          <w:p>
            <w:pPr>
              <w:spacing w:line="283" w:lineRule="auto" w:after="0"/>
              <w:jc w:val="right"/>
              <w:bidi/>
            </w:pPr>
            <w:r>
              <w:rPr>
                <w:sz w:val="18"/>
              </w:rPr>
              <w:t>يحتاج إلى تحقيق واقعي</w:t>
            </w:r>
          </w:p>
        </w:tc>
        <w:tc>
          <w:tcPr>
            <w:tcW w:type="dxa" w:w="1976"/>
          </w:tcPr>
          <w:p>
            <w:pPr>
              <w:spacing w:line="283" w:lineRule="auto" w:after="0"/>
              <w:jc w:val="right"/>
              <w:bidi/>
            </w:pPr>
            <w:r>
              <w:rPr>
                <w:sz w:val="18"/>
              </w:rPr>
              <w:t>يبقى النص والحكم مع مناطه</w:t>
            </w:r>
          </w:p>
        </w:tc>
      </w:tr>
      <w:tr>
        <w:tc>
          <w:tcPr>
            <w:tcW w:type="dxa" w:w="1976"/>
          </w:tcPr>
          <w:p>
            <w:pPr>
              <w:spacing w:line="283" w:lineRule="auto" w:after="0"/>
              <w:jc w:val="right"/>
              <w:bidi/>
            </w:pPr>
            <w:r>
              <w:rPr>
                <w:sz w:val="18"/>
              </w:rPr>
              <w:t>الحكم المؤقت</w:t>
            </w:r>
          </w:p>
        </w:tc>
        <w:tc>
          <w:tcPr>
            <w:tcW w:type="dxa" w:w="1976"/>
          </w:tcPr>
          <w:p>
            <w:pPr>
              <w:spacing w:line="283" w:lineRule="auto" w:after="0"/>
              <w:jc w:val="right"/>
              <w:bidi/>
            </w:pPr>
            <w:r>
              <w:rPr>
                <w:sz w:val="18"/>
              </w:rPr>
              <w:t>ينتهي بانتهاء أجل أو شرط منصوص أو معلوم</w:t>
            </w:r>
          </w:p>
        </w:tc>
        <w:tc>
          <w:tcPr>
            <w:tcW w:type="dxa" w:w="1976"/>
          </w:tcPr>
          <w:p>
            <w:pPr>
              <w:spacing w:line="283" w:lineRule="auto" w:after="0"/>
              <w:jc w:val="right"/>
              <w:bidi/>
            </w:pPr>
            <w:r>
              <w:rPr>
                <w:sz w:val="18"/>
              </w:rPr>
              <w:t>يحتاج إلى إثبات المؤقتية</w:t>
            </w:r>
          </w:p>
        </w:tc>
        <w:tc>
          <w:tcPr>
            <w:tcW w:type="dxa" w:w="1976"/>
          </w:tcPr>
          <w:p>
            <w:pPr>
              <w:spacing w:line="283" w:lineRule="auto" w:after="0"/>
              <w:jc w:val="right"/>
              <w:bidi/>
            </w:pPr>
            <w:r>
              <w:rPr>
                <w:sz w:val="18"/>
              </w:rPr>
              <w:t>لا يلزم وصف الانتهاء بالنسخ في كل اصطلاح</w:t>
            </w:r>
          </w:p>
        </w:tc>
      </w:tr>
    </w:tbl>
    <w:p>
      <w:pPr>
        <w:spacing w:line="283" w:lineRule="auto" w:after="80"/>
        <w:ind w:firstLine="397"/>
        <w:jc w:val="both"/>
        <w:bidi/>
      </w:pPr>
      <w:r>
        <w:t>النسخ: يرفع الحكم السابق في مجاله. والدليل المطلوب هو يحتاج إلى تاريخ ودلالة رفع، بينما لا يبقى الحكم السابق في المجال المنسوخ. وتُستخدم هذه المقارنة قبل إطلاق المصطلح حتى لا يُحوّل كل تغير إلى نسخ.</w:t>
      </w:r>
    </w:p>
    <w:p>
      <w:pPr>
        <w:spacing w:line="283" w:lineRule="auto" w:after="80"/>
        <w:ind w:firstLine="397"/>
        <w:jc w:val="both"/>
        <w:bidi/>
      </w:pPr>
      <w:r>
        <w:t>التخصيص: يخرج بعض أفراد العام. والدليل المطلوب هو يحتاج إلى مخصص معتبر، بينما يبقى العام في الباقي. وتُستخدم هذه المقارنة قبل إطلاق المصطلح حتى لا يُحوّل كل تغير إلى نسخ.</w:t>
      </w:r>
    </w:p>
    <w:p>
      <w:pPr>
        <w:spacing w:line="283" w:lineRule="auto" w:after="80"/>
        <w:ind w:firstLine="397"/>
        <w:jc w:val="both"/>
        <w:bidi/>
      </w:pPr>
      <w:r>
        <w:t>التقييد: يحدد المطلق بوصف أو شرط. والدليل المطلوب هو يحتاج إلى علاقة دلالية معتبرة، بينما يبقى الحكم مع القيد. وتُستخدم هذه المقارنة قبل إطلاق المصطلح حتى لا يُحوّل كل تغير إلى نسخ.</w:t>
      </w:r>
    </w:p>
    <w:p>
      <w:pPr>
        <w:spacing w:line="283" w:lineRule="auto" w:after="80"/>
        <w:ind w:firstLine="397"/>
        <w:jc w:val="both"/>
        <w:bidi/>
      </w:pPr>
      <w:r>
        <w:t>التدرج: ينقل الجماعة أو التكليف بين مراحل. والدليل المطلوب هو يحتاج إلى تاريخ وغاية مرحلية، بينما قد يحفظ المعنى السابق بوصفه مرحلة لا حكماً نهائياً. وتُستخدم هذه المقارنة قبل إطلاق المصطلح حتى لا يُحوّل كل تغير إلى نسخ.</w:t>
      </w:r>
    </w:p>
    <w:p>
      <w:pPr>
        <w:spacing w:line="283" w:lineRule="auto" w:after="80"/>
        <w:ind w:firstLine="397"/>
        <w:jc w:val="both"/>
        <w:bidi/>
      </w:pPr>
      <w:r>
        <w:t>تغير المناط: يتغير الواقع الذي ينطبق عليه الحكم. والدليل المطلوب هو يحتاج إلى تحقيق واقعي، بينما يبقى النص والحكم مع مناطه. وتُستخدم هذه المقارنة قبل إطلاق المصطلح حتى لا يُحوّل كل تغير إلى نسخ.</w:t>
      </w:r>
    </w:p>
    <w:p>
      <w:pPr>
        <w:spacing w:line="283" w:lineRule="auto" w:after="80"/>
        <w:ind w:firstLine="397"/>
        <w:jc w:val="both"/>
        <w:bidi/>
      </w:pPr>
      <w:r>
        <w:t>الحكم المؤقت: ينتهي بانتهاء أجل أو شرط منصوص أو معلوم. والدليل المطلوب هو يحتاج إلى إثبات المؤقتية، بينما لا يلزم وصف الانتهاء بالنسخ في كل اصطلاح. وتُستخدم هذه المقارنة قبل إطلاق المصطلح حتى لا يُحوّل كل تغير إلى نسخ.</w:t>
      </w:r>
    </w:p>
    <w:p>
      <w:pPr>
        <w:pStyle w:val="Heading1"/>
        <w:spacing w:line="283" w:lineRule="auto" w:after="120"/>
        <w:jc w:val="right"/>
        <w:keepNext/>
        <w:bidi/>
      </w:pPr>
      <w:r>
        <w:t>بروتوكول المراجعة المؤسسية لدعوى النسخ</w:t>
      </w:r>
    </w:p>
    <w:p>
      <w:pPr>
        <w:spacing w:line="283" w:lineRule="auto" w:after="80"/>
        <w:ind w:firstLine="397"/>
        <w:jc w:val="both"/>
        <w:bidi/>
      </w:pPr>
      <w:r>
        <w:t>تُراجع دعوى النسخ عالية الأثر بواسطة ثلاثة اختصاصات على الأقل: مفسر يحرر السياق والدلالة، وباحث حديث وتاريخ يحقق روايات الترتيب، وأصولي يميز الرفع من التخصيص والتقييد. وإذا اتصلت المسألة بعقوبة أو حق مالي أو أسري أضيف المختص بالمجال.</w:t>
      </w:r>
    </w:p>
    <w:p>
      <w:pPr>
        <w:spacing w:line="283" w:lineRule="auto" w:after="80"/>
        <w:ind w:firstLine="397"/>
        <w:jc w:val="both"/>
        <w:bidi/>
      </w:pPr>
      <w:r>
        <w:t>يجب أن يُعرض على المراجعين ملف واحد يضم الأدلة المؤيدة والنافية، لا ملخصاً كتبه صاحب الرأي. ويُطلب من مراجع مستقل أن يبني أقوى قراءة لا نسخية قبل التصويت أو الاعتماد.</w:t>
      </w:r>
    </w:p>
    <w:p>
      <w:pPr>
        <w:spacing w:line="283" w:lineRule="auto" w:after="80"/>
        <w:ind w:firstLine="397"/>
        <w:jc w:val="both"/>
        <w:bidi/>
      </w:pPr>
      <w:r>
        <w:t>لا يصدر الحكم بصيغة «هذه الآية منسوخة» وحدها، بل بصيغة تذكر الحكم المحدد الذي رُفع، والنص الناسخ، والتاريخ، ونوع الدلالة، وما يبقى من الآية الأولى من بيان أو قيمة أو حكم خارج المجال.</w:t>
      </w:r>
    </w:p>
    <w:p>
      <w:pPr>
        <w:spacing w:line="283" w:lineRule="auto" w:after="80"/>
        <w:ind w:firstLine="397"/>
        <w:jc w:val="both"/>
        <w:bidi/>
      </w:pPr>
      <w:r>
        <w:t>تُحفظ الأقوال السابقة وإصدارات الحكم، فإذا تحولت النتيجة من «نسخ راجح» إلى «تخصيص راجح» بعد ظهور طريق تاريخي جديد، بقي الإصدار السابق في السجل مع سبب السحب والتصحيح.</w:t>
      </w:r>
    </w:p>
    <w:p>
      <w:pPr>
        <w:spacing w:line="283" w:lineRule="auto" w:after="80"/>
        <w:ind w:firstLine="397"/>
        <w:jc w:val="both"/>
        <w:bidi/>
      </w:pPr>
      <w:r>
        <w:t>تُقاس جودة المؤسسة بقدرتها على تقليل دعاوى النسخ غير المعللة وكشف خطئها، لا بعدد المواضع التي تثبت فيها النسخ أو تنفيه. فالغاية إقامة الميزان لا الانتصار لمذهب التضييق أو التوسع.</w:t>
      </w:r>
    </w:p>
    <w:p>
      <w:pPr>
        <w:pStyle w:val="Heading1"/>
        <w:spacing w:line="283" w:lineRule="auto" w:after="80"/>
        <w:jc w:val="right"/>
        <w:keepNext/>
        <w:bidi/>
      </w:pPr>
      <w:r>
        <w:t>الدراسة الخاصة الأولى: نسخ التلاوة ومشكلة النص المحفوظ</w:t>
      </w:r>
    </w:p>
    <w:p>
      <w:pPr>
        <w:spacing w:line="283" w:lineRule="auto" w:after="80"/>
        <w:ind w:firstLine="397"/>
        <w:jc w:val="both"/>
        <w:bidi/>
      </w:pPr>
      <w:r>
        <w:t>تختلف دعوى نسخ التلاوة نوعياً عن دعوى نسخ الحكم؛ فنسخ الحكم يتعامل مع دلالة نص حاضر في المصحف، أما نسخ التلاوة فيدعي أن مادةً كانت قرآناً متلواً ثم رُفعت من التلاوة. ولذلك ترتفع عتبة الإثبات إلى أقصاها؛ لأن موضوع الدعوى ليس حكماً فرعياً بل تاريخ النص القرآني وحدود ما عُدَّ قرآناً.</w:t>
      </w:r>
    </w:p>
    <w:p>
      <w:pPr>
        <w:spacing w:line="283" w:lineRule="auto" w:after="80"/>
        <w:ind w:firstLine="397"/>
        <w:jc w:val="both"/>
        <w:bidi/>
      </w:pPr>
      <w:r>
        <w:t>ينطلق الميزان من أن القرآن الذي بين أيدي الأمة متلقىً تلاوةً وكتابةً على نطاق جماعي واسع، فلا يجوز معارضة هذا الثبوت البنيوي بخبر منفرد إلا بعد تحليل دقيق لوظيفته. فقد تكون الرواية تفسيراً أو ذكراً لحكم أو صياغةً بالمعنى أو وهماً في النقل، ولا يكفي ورود لفظ «آية» في خبر متأخر لإثبات أنه كان جزءاً من المصحف المنزل ثم رُفع.</w:t>
      </w:r>
    </w:p>
    <w:p>
      <w:pPr>
        <w:spacing w:line="283" w:lineRule="auto" w:after="80"/>
        <w:ind w:firstLine="397"/>
        <w:jc w:val="both"/>
        <w:bidi/>
      </w:pPr>
      <w:r>
        <w:t>يجب جمع جميع طرق الروايات التي استُدل بها على نسخ التلاوة، لا الاقتصار على أشهر صيغة. ثم تُفحص ألفاظها: هل تقول إن النص كان يُتلى قرآناً؟ وهل تحدد زمناً للرفع؟ وهل تشهد له مصادر مستقلة؟ وهل يظهر اضطراب في مقدار النص أو عبارته أو حكمه؟ وتُفصل قوة الإسناد عن قوة الدلالة على القرآنية.</w:t>
      </w:r>
    </w:p>
    <w:p>
      <w:pPr>
        <w:spacing w:line="283" w:lineRule="auto" w:after="80"/>
        <w:ind w:firstLine="397"/>
        <w:jc w:val="both"/>
        <w:bidi/>
      </w:pPr>
      <w:r>
        <w:t>كما يجب التمييز بين حفظ الحكم وحفظ النص. فقد يبقى حكم فقهي تدل عليه سنة ثابتة من غير حاجة إلى افتراض آية مرفوعة التلاوة. وإذا أمكن تفسير الرواية بوصفها سنةً أو حكماً نُسب إلى القرآن توسعاً في العبارة، كان هذا الاحتمال منافساً يجب وزنه قبل بناء نظرية نصية كبيرة.</w:t>
      </w:r>
    </w:p>
    <w:p>
      <w:pPr>
        <w:spacing w:line="283" w:lineRule="auto" w:after="80"/>
        <w:ind w:firstLine="397"/>
        <w:jc w:val="both"/>
        <w:bidi/>
      </w:pPr>
      <w:r>
        <w:t>تدخل هنا حاكمية قوله تعالى في حفظ الذكر ضمن شبكة القرآن، لا بوصفها شعاراً يمنع البحث التاريخي، بل بوصفها قرينةً عليا تجعل دعوى فقد نص قرآني أو رفعه من التلاوة بعد اشتهاره تحتاج إلى دليل يتناسب مع الثبوت الجماعي للنص المتلو. وكلما كان الادعاء أوسع ارتفعت الحاجة إلى استقلال الشواهد وتوافقها.</w:t>
      </w:r>
    </w:p>
    <w:p>
      <w:pPr>
        <w:spacing w:line="283" w:lineRule="auto" w:after="80"/>
        <w:ind w:firstLine="397"/>
        <w:jc w:val="both"/>
        <w:bidi/>
      </w:pPr>
      <w:r>
        <w:t>لا يساوي رفض دليل معين على نسخ التلاوة إنكار إمكان النسخ من حيث القدرة الإلهية؛ فالبحث في الوقوع التاريخي لا في الإمكان العقلي. والمنهج البياني يفرق دائماً بين ما يمكن أن يقع وما ثبت أنه وقع، ولا يحول الإمكان إلى تقرير تاريخي.</w:t>
      </w:r>
    </w:p>
    <w:p>
      <w:pPr>
        <w:spacing w:line="283" w:lineRule="auto" w:after="80"/>
        <w:ind w:firstLine="397"/>
        <w:jc w:val="both"/>
        <w:bidi/>
      </w:pPr>
      <w:r>
        <w:t>ويجب كذلك فصل القراءات غير المتواترة أو الشاذة من دعوى التلاوة المنسوخة؛ فالقراءة قد تحفظ تفسيراً لغوياً أو وجهاً منسوباً ولا يثبت بذلك أنها نص قرآني أزيل من المصحف. ويُعالج كل نوع بميزانه الخاص كما قرره كتاب القراءات السابق.</w:t>
      </w:r>
    </w:p>
    <w:p>
      <w:pPr>
        <w:spacing w:line="283" w:lineRule="auto" w:after="80"/>
        <w:ind w:firstLine="397"/>
        <w:jc w:val="both"/>
        <w:bidi/>
      </w:pPr>
      <w:r>
        <w:t>تكون النتيجة النهائية في ملفات نسخ التلاوة متعددة الطبقات: ثبوت الرواية، ودلالتها على القرآنية، ودلالتها على التلاوة، ودلالتها على الرفع، وعلاقتها بالمصحف المتلقى، وأثرها الفقهي إن وجد. ولا تُختزل هذه الطبقات في عبارة «ثبت نسخ التلاوة» إلا إذا اجتمعت الشروط بدرجة توازي خطورة الدعوى.</w:t>
      </w:r>
    </w:p>
    <w:p>
      <w:pPr>
        <w:pStyle w:val="Heading1"/>
        <w:spacing w:line="283" w:lineRule="auto" w:after="80"/>
        <w:jc w:val="right"/>
        <w:keepNext/>
        <w:bidi/>
      </w:pPr>
      <w:r>
        <w:t>الدراسة الخاصة الثانية: النسخ بين القرآن والسنة</w:t>
      </w:r>
    </w:p>
    <w:p>
      <w:pPr>
        <w:spacing w:line="283" w:lineRule="auto" w:after="80"/>
        <w:ind w:firstLine="397"/>
        <w:jc w:val="both"/>
        <w:bidi/>
      </w:pPr>
      <w:r>
        <w:t>تقوم العلاقة بين القرآن والسنة على أن الرسول مبين للكتاب ومطاع في هديه الثابت، غير أن وظيفة السنة ليست درجةً واحدة: فقد تبين المجمل، وتخصص العام، وتقيد المطلق، وتفصل كيفية العمل، وقد يرد فيها حكم مستقل في إطار الرسالة. ولذلك لا يجوز تسمية كل اختلاف بين ظاهر القرآن والسنة نسخاً قبل تحديد الوظيفة.</w:t>
      </w:r>
    </w:p>
    <w:p>
      <w:pPr>
        <w:spacing w:line="283" w:lineRule="auto" w:after="80"/>
        <w:ind w:firstLine="397"/>
        <w:jc w:val="both"/>
        <w:bidi/>
      </w:pPr>
      <w:r>
        <w:t>إذا وردت سنة ثابتة بعد حكم قرآني، فالسؤال الأول ليس: هل نسخت القرآن؟ بل: هل بينت مراده أو خصصت بعض أفراده أو قيدت مناطه أو بينت مرحلة تطبيقه؟ ولا يُنتقل إلى النسخ إلا إذا تعذر تفسير العلاقة بهذه الوظائف وثبت التاريخ ودلالة الرفع.</w:t>
      </w:r>
    </w:p>
    <w:p>
      <w:pPr>
        <w:spacing w:line="283" w:lineRule="auto" w:after="80"/>
        <w:ind w:firstLine="397"/>
        <w:jc w:val="both"/>
        <w:bidi/>
      </w:pPr>
      <w:r>
        <w:t>كما تختلف مرتبة السنة بحسب الثبوت؛ فالسنة العملية المتلقاة على نطاق واسع ليست كخبر فرد مختلف في طريقه. وكل دعوى رفع لحكم قرآني تحتاج إلى دليل من السنة يوازي أثرها، ولا يكفي خبر محتمل السند أو الدلالة لإخراج نص محكم من العمل.</w:t>
      </w:r>
    </w:p>
    <w:p>
      <w:pPr>
        <w:spacing w:line="283" w:lineRule="auto" w:after="80"/>
        <w:ind w:firstLine="397"/>
        <w:jc w:val="both"/>
        <w:bidi/>
      </w:pPr>
      <w:r>
        <w:t>أما نسخ السنة بالقرآن فيحتاج أيضاً إلى تحرير السنة السابقة: هل كان الحكم ثابتاً بوحي غير متلو أم باجتهاد نبوي أقره الوحي أم بتدبير ظرفي؟ فإذا نزل القرآن بحكم يخالف ممارسة سابقة ثبت أنها تشريع، أمكن بحث الرفع، أما إذا كان السابق تدبيراً أو اجتهاداً تاريخياً فلا يلزم إدخاله في اصطلاح النسخ.</w:t>
      </w:r>
    </w:p>
    <w:p>
      <w:pPr>
        <w:spacing w:line="283" w:lineRule="auto" w:after="80"/>
        <w:ind w:firstLine="397"/>
        <w:jc w:val="both"/>
        <w:bidi/>
      </w:pPr>
      <w:r>
        <w:t>تُظهر قضية تحويل القبلة مثالاً مهماً؛ إذ عُمل بجهة قبل نزول الأمر القرآني بالتوجه إلى المسجد الحرام. ويمكن هنا دراسة علاقة الوحي المتلو بالهدي السابق من غير اختزال تاريخ السنة في نصوص الحديث اللاحقة. ويحتاج الحكم إلى إثبات ما كان تكليفاً وما كان تدبيراً وما الذي رُفع تحديداً.</w:t>
      </w:r>
    </w:p>
    <w:p>
      <w:pPr>
        <w:spacing w:line="283" w:lineRule="auto" w:after="80"/>
        <w:ind w:firstLine="397"/>
        <w:jc w:val="both"/>
        <w:bidi/>
      </w:pPr>
      <w:r>
        <w:t>وفي القضايا العقابية، مثل الرجم، يجب تجنب بناء علاقة نسخية قبل تحرير النصوص كلها: آيات القرآن، وسنة القضاء، وتاريخ الوقائع، وشروط الإثبات، ودعوى نسخ التلاوة إن دخلت. ولا تكفي شهرة التصنيف الفقهي لتعويض الحاجة إلى تحليل كل طبقة.</w:t>
      </w:r>
    </w:p>
    <w:p>
      <w:pPr>
        <w:spacing w:line="283" w:lineRule="auto" w:after="80"/>
        <w:ind w:firstLine="397"/>
        <w:jc w:val="both"/>
        <w:bidi/>
      </w:pPr>
      <w:r>
        <w:t>كما ينبغي منع الاتجاه المقابل الذي يلغي بيان السنة باسم حاكمية القرآن؛ فالحاكمية لا تعني عزل الرسول عن وظيفته، بل ترتيب المصدر والطريق والدلالة. فإذا ثبت بيان نبوي صحيح يحدد كيفية الحكم أو مجال النص، وجب إدخاله بصفته البيانية قبل التسرع في وصفه تعارضاً.</w:t>
      </w:r>
    </w:p>
    <w:p>
      <w:pPr>
        <w:spacing w:line="283" w:lineRule="auto" w:after="80"/>
        <w:ind w:firstLine="397"/>
        <w:jc w:val="both"/>
        <w:bidi/>
      </w:pPr>
      <w:r>
        <w:t>وتنتهي النظرية إلى أن عبارة «نسخ القرآن بالسنة» أو «نسخ السنة بالقرآن» عنوان إجمالي لا يكفي علمياً. الواجب هو تحديد الحكم السابق والدليل اللاحق ونوع السنة ودرجة الثبوت والتاريخ وبدائل التخصيص والتقييد والبيان، ثم إصدار حكم على الدعوى الجزئية نفسها.</w:t>
      </w:r>
    </w:p>
    <w:p>
      <w:pPr>
        <w:pStyle w:val="Heading2"/>
        <w:spacing w:line="283" w:lineRule="auto" w:after="80"/>
        <w:jc w:val="right"/>
        <w:keepNext/>
        <w:bidi/>
      </w:pPr>
      <w:r>
        <w:t>قاعدة ختامية في مقدار الدليل</w:t>
      </w:r>
    </w:p>
    <w:p>
      <w:pPr>
        <w:spacing w:line="283" w:lineRule="auto" w:after="80"/>
        <w:ind w:firstLine="397"/>
        <w:jc w:val="both"/>
        <w:bidi/>
      </w:pPr>
      <w:r>
        <w:t>كلما كان الأثر المترتب على دعوى النسخ أعظم، ارتفعت عتبة الدليل المطلوبة. فنسخ تفصيل مؤقت في عبادة ليس كدعوى رفع أصل قرآني عام، ونسخ التلاوة ليس كالتخصيص، ورفع حكم يمس النفس أو العرض أو حرية الاعتقاد ليس كتنظيم إجراء عابر. وهذه ليست موازنة نفعية تغير الحق، بل قاعدة في مسؤولية الشهادة: لا ينسب إلى الوحي رفعٌ كبير بدليل صغير.</w:t>
      </w:r>
    </w:p>
    <w:p>
      <w:pPr>
        <w:spacing w:line="283" w:lineRule="auto" w:after="80"/>
        <w:ind w:firstLine="397"/>
        <w:jc w:val="both"/>
        <w:bidi/>
      </w:pPr>
      <w:r>
        <w:t>وبذلك يستقر ميزان النسخ على أربعة أركان: ثبوت النص، وثبوت التاريخ، ودلالة الرفع، وتعذر البديل التفسيري المعتبر. فإذا اختل ركن بقيت الدعوى محتملةً أو ضعيفةً أو متوقفةً بحسب مقدار الخلل، ولم يجز تحويلها إلى قائمة يقينية للآيات المنسوخة.</w:t>
      </w:r>
    </w:p>
    <w:p>
      <w:pPr>
        <w:pStyle w:val="Heading1"/>
        <w:spacing w:line="283" w:lineRule="auto" w:after="80"/>
        <w:jc w:val="right"/>
        <w:keepNext/>
        <w:bidi/>
      </w:pPr>
      <w:r>
        <w:t>الدراسة الخاصة الثالثة: النسخ والبداء والحكمة الإلهية</w:t>
      </w:r>
    </w:p>
    <w:p>
      <w:pPr>
        <w:spacing w:line="283" w:lineRule="auto" w:after="80"/>
        <w:ind w:firstLine="397"/>
        <w:jc w:val="both"/>
        <w:bidi/>
      </w:pPr>
      <w:r>
        <w:t>أثار النسخ في تاريخ الكلام سؤالاً عقدياً يتجاوز الفقه: إذا تغير الحكم، فهل يعني ذلك تغير العلم الإلهي أو ظهور ما لم يكن معلوماً؟ ويجب تحرير السؤال قبل الجواب؛ لأن النسخ في خطاب المكلفين يتعلق بتتابع الأحكام في الزمن الإنساني، لا بتغير علم الله الأزلي. فالذي يتغير هو التكليف المبلغ أو زمن العمل به، لا العلم الإلهي بالمرحلتين ومآلهما.</w:t>
      </w:r>
    </w:p>
    <w:p>
      <w:pPr>
        <w:spacing w:line="283" w:lineRule="auto" w:after="80"/>
        <w:ind w:firstLine="397"/>
        <w:jc w:val="both"/>
        <w:bidi/>
      </w:pPr>
      <w:r>
        <w:t>يفصل المنهج البياني بين النسخ والبداء بمعناه الذي يوهم ظهور أمر لله بعد خفائه، فهذا المعنى منفي عن العلم الإلهي. أما استعمال بعض المدارس لفظ البداء بمعنى إظهار ما كان مستوراً عن العباد أو تبدل ما يظهر لهم من التقدير المشروط، فيحتاج إلى تحرير اصطلاحي مستقل ولا يجوز دمجه آلياً في النسخ التشريعي.</w:t>
      </w:r>
    </w:p>
    <w:p>
      <w:pPr>
        <w:spacing w:line="283" w:lineRule="auto" w:after="80"/>
        <w:ind w:firstLine="397"/>
        <w:jc w:val="both"/>
        <w:bidi/>
      </w:pPr>
      <w:r>
        <w:t>تدل بنية الابتلاء في القرآن على أن التكليف قد يتدرج بحسب حال الجماعة وقدرتها ومرحلتها، من غير أن يكون ذلك تصحيحاً لعلم سابق. فالله يعلم المرحلة الأولى والثانية، ويشرع لكل منهما ما يناسب غاية الابتلاء والتعليم. ومن ثم فإن التدرج إذا ثبت لا يحمل بذاته أي إشكال في الحكمة أو العلم.</w:t>
      </w:r>
    </w:p>
    <w:p>
      <w:pPr>
        <w:spacing w:line="283" w:lineRule="auto" w:after="80"/>
        <w:ind w:firstLine="397"/>
        <w:jc w:val="both"/>
        <w:bidi/>
      </w:pPr>
      <w:r>
        <w:t>كما يجب تجنب الاتجاه العكسي الذي ينفي وقوع أي نسخ خشية الإشكال العقدي؛ إذ لا يلزم من ثبوت نسخ حكم محدد شيء من تغير العلم الإلهي. الحجة في الوقوع نصية وتاريخية، أما الإمكان العقلي فيبقى منفصلاً عن إثبات المثال. وهذه قاعدة متكررة في المشروع: لا نثبت التاريخ بالعقيدة ولا نبني العقيدة على تاريخ غير ثابت.</w:t>
      </w:r>
    </w:p>
    <w:p>
      <w:pPr>
        <w:spacing w:line="283" w:lineRule="auto" w:after="80"/>
        <w:ind w:firstLine="397"/>
        <w:jc w:val="both"/>
        <w:bidi/>
      </w:pPr>
      <w:r>
        <w:t>ترتبط الحكمة بمفهوم الخير أو المثل في البقرة 106، لكن لا يجوز تحويل الآية إلى نظرية نفعية بسيطة. فالخير قد يكون في ملاءمة المرحلة أو زيادة البيان أو تخفيف التكليف أو تحويل جهة العمل إلى مقصد آخر. ويُستخرج معنى الخير من السياق والشبكة لا من مصلحة يقدرها الباحث من خارج النص.</w:t>
      </w:r>
    </w:p>
    <w:p>
      <w:pPr>
        <w:spacing w:line="283" w:lineRule="auto" w:after="80"/>
        <w:ind w:firstLine="397"/>
        <w:jc w:val="both"/>
        <w:bidi/>
      </w:pPr>
      <w:r>
        <w:t>أما إذا كان الحكم الأول مؤقتاً في علم الله ومقصوداً لمرحلة، فإن وصفه بالنسخ بعد انتهاء مرحلته لا يعني أنه كان خطأً ثم صُحح، بل إنه أدى وظيفته في وقتها. وهذه الفكرة مهمة في قراءة بعض دعاوى التدرج، لكنها لا تُستعمل لإثبات المؤقتية من غير دليل؛ لأن كل حكم يمكن بعد وقوع تغير أن يوصف بأثر رجعي بأنه كان مؤقتاً.</w:t>
      </w:r>
    </w:p>
    <w:p>
      <w:pPr>
        <w:spacing w:line="283" w:lineRule="auto" w:after="80"/>
        <w:ind w:firstLine="397"/>
        <w:jc w:val="both"/>
        <w:bidi/>
      </w:pPr>
      <w:r>
        <w:t>ويجب أن يظل الفرق قائماً بين الحكمة التفسيرية والدليل الإثباتي. قد يستطيع الباحث اقتراح حكمة مقنعة للانتقال من حكم إلى آخر، لكن هذه الحكمة لا تثبت أن النسخ وقع. وقوع النسخ يحتاج إلى النص والتاريخ ودلالة الرفع، ثم تأتي الحكمة لفهم المآل لا لتكوين الحدث التاريخي.</w:t>
      </w:r>
    </w:p>
    <w:p>
      <w:pPr>
        <w:spacing w:line="283" w:lineRule="auto" w:after="80"/>
        <w:ind w:firstLine="397"/>
        <w:jc w:val="both"/>
        <w:bidi/>
      </w:pPr>
      <w:r>
        <w:t>بذلك يُرد باب النسخ إلى التوحيد والعلم والابتلاء من غير أن يتحول إلى باب كلامي يبتلع البحث النصي. فالتوحيد يحكم التنزيه، والنص يحكم دعوى الوقوع، والتاريخ يحدد الترتيب، والبيان يحدد العلاقة، ولا تُعطى طبقة منها وظيفة طبقة أخرى.</w:t>
      </w:r>
    </w:p>
    <w:p>
      <w:pPr>
        <w:pStyle w:val="Heading1"/>
        <w:spacing w:line="283" w:lineRule="auto" w:after="80"/>
        <w:jc w:val="right"/>
        <w:keepNext/>
        <w:bidi/>
      </w:pPr>
      <w:r>
        <w:t>الدراسة الخاصة الرابعة: مآل التوسع في النسخ على بنية التفسير</w:t>
      </w:r>
    </w:p>
    <w:p>
      <w:pPr>
        <w:spacing w:line="283" w:lineRule="auto" w:after="80"/>
        <w:ind w:firstLine="397"/>
        <w:jc w:val="both"/>
        <w:bidi/>
      </w:pPr>
      <w:r>
        <w:t>ليست مشكلة التوسع في النسخ كميةً فقط، أي في عدد الآيات التي توصف بالمنسوخة، بل هي مشكلة في بنية التفسير. فإذا اعتاد المفسر حل كل اختلاف بإسقاط أحد النصين، ضعفت قدرته على اكتشاف الفروق في المخاطب والسياق والمناط والوظيفة، وتحولت شبكة القرآن إلى خط زمني يمحو السابق بدل أن يفسر علاقاته.</w:t>
      </w:r>
    </w:p>
    <w:p>
      <w:pPr>
        <w:spacing w:line="283" w:lineRule="auto" w:after="80"/>
        <w:ind w:firstLine="397"/>
        <w:jc w:val="both"/>
        <w:bidi/>
      </w:pPr>
      <w:r>
        <w:t>يؤثر هذا التوسع في التفسير الموضوعي؛ فقد تُستبعد آيات العفو والبر والقسط من موضوع العلاقات مع المخالف بدعوى نسخها، فينشأ موضوع قرآني مبتور. كما يؤثر في الوحدة السُّورية إذا قُرئت بعض المقاطع بوصفها بقايا أحكام لم تعد ذات وظيفة، مع أن موقعها في السورة قد يؤدي وظيفة حجاجية أو سننية أو مآلية باقية.</w:t>
      </w:r>
    </w:p>
    <w:p>
      <w:pPr>
        <w:spacing w:line="283" w:lineRule="auto" w:after="80"/>
        <w:ind w:firstLine="397"/>
        <w:jc w:val="both"/>
        <w:bidi/>
      </w:pPr>
      <w:r>
        <w:t>ويؤثر كذلك في النظام المفهومي؛ لأن رفع الحكم قد يُفهم خطأً على أنه رفع للمفهوم نفسه. فإذا نسخ تكليف مرحلي - على فرض ثبوت النسخ - لا يعني ذلك أن مفاهيم الصبر أو العفو أو الصدقة أو التخفيف خرجت من شبكة القرآن. ويبقى التمييز بين الحكم التطبيقي والدلالة المفهومية ضرورياً.</w:t>
      </w:r>
    </w:p>
    <w:p>
      <w:pPr>
        <w:spacing w:line="283" w:lineRule="auto" w:after="80"/>
        <w:ind w:firstLine="397"/>
        <w:jc w:val="both"/>
        <w:bidi/>
      </w:pPr>
      <w:r>
        <w:t>أما في الفقه، فقد يحول التوسع في النسخ دون اكتشاف تعدد الخيارات أو الاستثناءات أو مراتب الحكم. وقد تتحول آية متخصصة في حالة إلى قاعدة تلغي غيرها، بينما القراءة الشبكية تكشف أن النصوص تعمل في مقامات متعددة. لذلك لا يُعد تقليل النسخ غايةً في ذاته، بل نتيجةً محتملة لتحسين أدوات التفريق.</w:t>
      </w:r>
    </w:p>
    <w:p>
      <w:pPr>
        <w:spacing w:line="283" w:lineRule="auto" w:after="80"/>
        <w:ind w:firstLine="397"/>
        <w:jc w:val="both"/>
        <w:bidi/>
      </w:pPr>
      <w:r>
        <w:t>ومن جهة أخرى، يؤدي الإنكار المطلق للنسخ إلى مشكلة مقابلة؛ فقد يضطر المفسر إلى جمع نصين جمعاً متكلفاً مع وجود دليل تاريخي وصريح على رفع الحكم الأول. ولذلك يرفض الميزان طرفي الإفراط والتفريط: لا قائمة واسعة تُسقط النصوص بسهولة، ولا أصل أيديولوجي يمنع النسخ مهما بلغت الأدلة.</w:t>
      </w:r>
    </w:p>
    <w:p>
      <w:pPr>
        <w:spacing w:line="283" w:lineRule="auto" w:after="80"/>
        <w:ind w:firstLine="397"/>
        <w:jc w:val="both"/>
        <w:bidi/>
      </w:pPr>
      <w:r>
        <w:t>المآل الصحيح للنظرية هو جعل كل دعوى نسخ ملفاً مستقلاً لا حكماً موروثاً. ويجب أن يعرف الباحث عدد الدعاوى التي فُحصت، وعدد ما ثبت منها، وما أعيد تصنيفه تخصيصاً أو تقييداً أو تدرجاً، وما بقي متوقفاً فيه. وبذلك تتحول دراسة الناسخ والمنسوخ من باب سردي إلى برنامج بحث قابل للقياس والمراجعة.</w:t>
      </w:r>
    </w:p>
    <w:p>
      <w:pPr>
        <w:spacing w:line="283" w:lineRule="auto" w:after="80"/>
        <w:ind w:firstLine="397"/>
        <w:jc w:val="both"/>
        <w:bidi/>
      </w:pPr>
      <w:r>
        <w:t>كما ينبغي أن تنعكس النتيجة على تعليم التفسير؛ فيتعلم الطالب أولاً السؤال عن وحدة الحكم والمخاطب والمناط، ثم عن التاريخ، ثم عن البدائل، ولا يحفظ قائمةً منسوخةً بوصفها حقائق نهائية. ويُدرب على بناء ملفين متنافسين للمسألة نفسها حتى يدرك مقدار الدليل الذي تتطلبه دعوى الرفع.</w:t>
      </w:r>
    </w:p>
    <w:p>
      <w:pPr>
        <w:spacing w:line="283" w:lineRule="auto" w:after="80"/>
        <w:ind w:firstLine="397"/>
        <w:jc w:val="both"/>
        <w:bidi/>
      </w:pPr>
      <w:r>
        <w:t>ويكتمل المآل المؤسسي حين تُربط دعاوى النسخ بالمدونة القرآنية ومعجم المصطلحات وأسباب النزول والقراءات وقاعدة الروايات والأطلس الزمني. عندها يستطيع الباحث رؤية جميع الطبقات في موضع واحد، ويصعب أن تستمر دعوى كبيرة مع تاريخ ضعيف أو تعريف مضطرب من غير أن يظهر موضع الخلل.</w:t>
      </w:r>
    </w:p>
    <w:p>
      <w:pPr>
        <w:pStyle w:val="Heading2"/>
        <w:spacing w:line="283" w:lineRule="auto" w:after="80"/>
        <w:jc w:val="right"/>
        <w:keepNext/>
        <w:bidi/>
      </w:pPr>
      <w:r>
        <w:t>الخلاصة الاستدراكية</w:t>
      </w:r>
    </w:p>
    <w:p>
      <w:pPr>
        <w:spacing w:line="283" w:lineRule="auto" w:after="80"/>
        <w:ind w:firstLine="397"/>
        <w:jc w:val="both"/>
        <w:bidi/>
      </w:pPr>
      <w:r>
        <w:t>تؤكد الدراسات الخاصة أن النسخ لا يُبحث في الفراغ؛ فهو يمس تصور الوحي والعلم الإلهي، وطريقة بناء الموضوع والمفهوم والسورة، وانتقال النص إلى الفقه والحقوق. ولهذا كان تضييق حد المصطلح ورفع معيار إثباته جزءاً من إقامة الميزان، لا موقفاً مسبقاً من إمكان النسخ أو وقوعه.</w:t>
      </w:r>
    </w:p>
    <w:p>
      <w:pPr>
        <w:spacing w:line="283" w:lineRule="auto" w:after="80"/>
        <w:ind w:firstLine="397"/>
        <w:jc w:val="both"/>
        <w:bidi/>
      </w:pPr>
      <w:r>
        <w:t>وتكون النتيجة الأشد إحكاماً هي التي تستطيع أن تقول بدقة: هذا الحكم رُفع في هذا المجال بهذا الدليل وفي هذا الزمن، وهذه الدلالات بقيت، وهذه البدائل فُحصت ولم تنجح. وكلما عجز الحكم عن هذا التفصيل اقترب من الشعار وابتعد عن العلم.</w:t>
      </w:r>
    </w:p>
    <w:p>
      <w:pPr>
        <w:spacing w:line="283" w:lineRule="auto" w:after="80"/>
        <w:ind w:firstLine="397"/>
        <w:jc w:val="both"/>
        <w:bidi/>
      </w:pPr>
      <w:r>
        <w:t>يرتبط باب النسخ بالكتب السابقة ارتباطاً عضوياً: فالمحكم والمتشابه يحدد ما إذا كان التعارض حقيقياً أو ناشئاً عن احتمال دلالي، وأسباب النزول توفر طبقة تاريخية لا يجوز أن تحكم النص قبل التحقق، والقراءات قد توسع مجال الجمع أو تكشف قيداً صرفياً أو تركيبياً، والمدونة القرآنية تمنع انتقاء النصين من شبكة أوسع. ومن ثم لا يصح بحث النسخ بوصفه باباً معزولاً في أصول التفسير.</w:t>
      </w:r>
    </w:p>
    <w:p>
      <w:pPr>
        <w:spacing w:line="283" w:lineRule="auto" w:after="80"/>
        <w:ind w:firstLine="397"/>
        <w:jc w:val="both"/>
        <w:bidi/>
      </w:pPr>
      <w:r>
        <w:t>إذا اختلفت القراءة فظهر وجه جمع جديد، وجب فحصه قبل النسخ. وإذا كشف سبب نزول ثابت اختلاف المخاطب أو الظرف، انخفضت دعوى التعارض. وإذا رد المحكم متشابهاً إلى معنى متسق، لم يبق محل لرفع النص. وإذا أظهرت الشبكة استمرار الحكم الأول في موضع آخر، وجب تفسير هذا الاستمرار قبل القول بالنسخ. وهكذا يعمل النسخ في آخر سلسلة من الموازين لا في أولها.</w:t>
      </w:r>
    </w:p>
    <w:p>
      <w:pPr>
        <w:spacing w:line="283" w:lineRule="auto" w:after="80"/>
        <w:ind w:firstLine="397"/>
        <w:jc w:val="both"/>
        <w:bidi/>
      </w:pPr>
      <w:r>
        <w:t>وبهذا يصبح الكتاب الثامن عشر حلقةً جامعةً لما قبله ومقدمةً لما بعده: فهو يختبر قدرة منهج التفسير البياني على التعامل مع أشد صور الاختلاف النصي حساسية، ويقرر أن حفظ القرآن لا يكون بإنكار النسخ الثابت ولا بتكثير المنسوخ، وإنما بإقامة الوزن بالقسط بين البقاء والرفع والجمع والتاريخ.</w:t>
      </w:r>
    </w:p>
    <w:p>
      <w:pPr>
        <w:spacing w:line="283" w:lineRule="auto" w:after="80"/>
        <w:ind w:firstLine="397"/>
        <w:jc w:val="both"/>
        <w:bidi/>
      </w:pPr>
      <w:r>
        <w:t>ويستلزم هذا البناء أن تُعاد مراجعة قوائم الناسخ والمنسوخ في التراث بنداً بنداً، مع تسجيل موضع الاتفاق والخلاف وتاريخ المصطلح ونوع الدليل. ولا تكون الغاية تصغير عدد المنسوخات أو تكبيره، بل تصحيح التصنيف. فإذا انتهى الفحص إلى عدد قليل من حالات النسخ المحكمة كان ذلك نتيجةً للدليل، وإذا ثبتت حالات أكثر قُبلت بالميزان نفسه. المعيار ليس النتيجة المرغوبة، وإنما صرامة البرهان وعدالة تطبيقه على جميع المواضع من غير انتقاء.</w:t>
      </w:r>
    </w:p>
    <w:p>
      <w:pPr>
        <w:spacing w:line="283" w:lineRule="auto" w:after="80"/>
        <w:ind w:firstLine="397"/>
        <w:jc w:val="both"/>
        <w:bidi/>
      </w:pPr>
      <w:r>
        <w:t>ويظل باب النسخ مفتوحاً للمراجعة؛ لأن ظهور شاهد تاريخي أو قراءة ثابتة أو تحرير أدق للمخاطب والمناط قد يغير نوع العلاقة من نسخ إلى تخصيص أو من تدرج إلى رفع صريح. ومن هنا تكون قابلية التصحيح جزءاً من العلم نفسه، لا نقصاً في هيبته، ويكون التوقف أصدق من الجزم حين لا يفي الدليل بمقدار الدعوى.</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t>موسوعة علم الأصول النظرية للتفسير البياني - الكتاب الثامن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الثامن عشر: النسخ في ميزان القرآن ومنطق البيان</dc:title>
  <dc:subject>موسوعة علم الأصول النظرية للتفسير البياني</dc:subject>
  <dc:creator>Ibn ʿAbbās al-ʿĀmilī, PhD</dc:creator>
  <cp:keywords>النسخ، التفسير، القرآن، منطق البيان، الناسخ والمنسوخ، التخصيص، التقييد</cp:keywords>
  <dc:description>generated by python-docx</dc:description>
  <cp:lastModifiedBy/>
  <cp:revision>1</cp:revision>
  <dcterms:created xsi:type="dcterms:W3CDTF">2013-12-23T23:15:00Z</dcterms:created>
  <dcterms:modified xsi:type="dcterms:W3CDTF">2013-12-23T23:15:00Z</dcterms:modified>
  <cp:category/>
</cp:coreProperties>
</file>