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التاسع عشر</w:t>
      </w:r>
    </w:p>
    <w:p>
      <w:pPr>
        <w:spacing w:line="283" w:lineRule="auto" w:after="80" w:before="0"/>
        <w:jc w:val="center"/>
        <w:bidi/>
      </w:pPr>
      <w:r>
        <w:rPr>
          <w:b/>
          <w:sz w:val="44"/>
        </w:rPr>
        <w:t>التفسير بالمأثور في ميزان القرآن ومنطق البيان</w:t>
      </w:r>
    </w:p>
    <w:p>
      <w:pPr>
        <w:spacing w:line="283" w:lineRule="auto" w:after="80" w:before="0"/>
        <w:jc w:val="center"/>
        <w:bidi/>
      </w:pPr>
      <w:r>
        <w:rPr>
          <w:b w:val="0"/>
          <w:sz w:val="28"/>
        </w:rPr>
        <w:t>مراتب البيان المنقول، وحجية المأثور، والإسرائيليات، والمراجعة النقدية</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للتفسير بالمأثور داخل منظومة أصول التفسير البياني، بعد أن حُررت في الكتب السابقة حاكمية القرآن، ومنطق البيان، والسياق، والمحكم والمتشابه، والقراءات، وأسباب النزول، والنسخ. ولذلك لا يبدأ السؤال هنا من: هل نقبل المأثور أو نرده؟ بل من: ما أنواع المأثور، وما درجات ثبوته، وما وظيفته، وما حدود سلطته على النص، وكيف يدخل في شبكة التفسير من غير أن يصبح بديلاً عن القرآن أو عن بيان الرسول الثابت؟</w:t>
      </w:r>
    </w:p>
    <w:p>
      <w:pPr>
        <w:spacing w:line="283" w:lineRule="auto" w:after="80"/>
        <w:ind w:firstLine="397"/>
        <w:jc w:val="both"/>
        <w:bidi/>
      </w:pPr>
      <w:r>
        <w:t>ينطلق الكتاب من التمييز بين أربع طبقات: بيان الرسول الثابت، والرواية التفسيرية المنسوبة إليه، وقول الصحابي، وقول التابعي ومن بعده. ولا تساوي هذه الطبقات بعضها بعضاً في الحجية أو الوظيفة، كما لا تساوي صحة الإسناد صحة التفسير، ولا يساوي قدم القول كونه مراد الله، وإن كان القرب من التنزيل قرينةً مهمةً في اللغة والسياق والتلقي.</w:t>
      </w:r>
    </w:p>
    <w:p>
      <w:pPr>
        <w:spacing w:line="283" w:lineRule="auto" w:after="80"/>
        <w:ind w:firstLine="397"/>
        <w:jc w:val="both"/>
        <w:bidi/>
      </w:pPr>
      <w:r>
        <w:t>يعيد الكتاب بناء مصطلح التفسير بالمأثور بحيث يشمل شبكةً من الأخبار والآثار والأقوال والتطبيقات، لا صنفاً واحداً. ويُميز بين المرفوع التفسيري، والموقوف، والمقطوع، والمرسل، وأسباب النزول، والقراءة التفسيرية، والتفسير بالمثال، والتطبيق العملي، والإسرائيليات، والتفسير التاريخي الذي دخل كتب المأثور مع الزمن.</w:t>
      </w:r>
    </w:p>
    <w:p>
      <w:pPr>
        <w:spacing w:line="283" w:lineRule="auto" w:after="80"/>
        <w:ind w:firstLine="397"/>
        <w:jc w:val="both"/>
        <w:bidi/>
      </w:pPr>
      <w:r>
        <w:t>يؤكد الكتاب أن بيان الرسول الثابت له مرتبة خاصة بحكم مقام الرسالة والبيان، غير أن ثبوت النسبة إليه يحتاج إلى علم الحديث والرجال البياني الذي سبق تأسيسه. أما أقوال الصحابة والتابعين فتحتاج إلى تحليل من جهة الشهادة على السياق واللسان، ومن جهة الاجتهاد، ومن جهة احتمال النقل عن أهل الكتاب، ومن جهة اختلافهم وتعدد مدارسهم.</w:t>
      </w:r>
    </w:p>
    <w:p>
      <w:pPr>
        <w:spacing w:line="283" w:lineRule="auto" w:after="80"/>
        <w:ind w:firstLine="397"/>
        <w:jc w:val="both"/>
        <w:bidi/>
      </w:pPr>
      <w:r>
        <w:t>يخصص الكتاب مساحةً مركزيةً للإسرائيليات، فلا يكتفي بالتقسيم التقليدي إلى ما وافق وما خالف وما سُكت عنه، بل يفحص أصل الرواية ومسارها ووظيفتها وعلاقتها بالمحكمات والقصص القرآني وحدود الحاجة إليها. ويمنع أن تتحول التفاصيل القصصية التي لم يثبتها القرآن إلى تفسير ملزم أو إلى جزء من صورة الأنبياء والملائكة والتاريخ المقدس.</w:t>
      </w:r>
    </w:p>
    <w:p>
      <w:pPr>
        <w:spacing w:line="283" w:lineRule="auto" w:after="80"/>
        <w:ind w:firstLine="397"/>
        <w:jc w:val="both"/>
        <w:bidi/>
      </w:pPr>
      <w:r>
        <w:t>ينتهي الكتاب إلى أن المأثور لا يعمل خارج القرآن، بل داخله وتحت حاكميته. فالنص المحكم والسياق والسورة والتصريف وشبكة المفهوم تضبط وظيفة المأثور، والمأثور الصحيح قد يكشف سبباً أو لساناً أو مصداقاً أو تطبيقاً من غير أن يحصر دلالة الآية، وقد يكون شاهداً تاريخياً من غير حجية تفسيرية ملزمة.</w:t>
      </w:r>
    </w:p>
    <w:p>
      <w:pPr>
        <w:spacing w:line="283" w:lineRule="auto" w:after="80"/>
        <w:ind w:firstLine="397"/>
        <w:jc w:val="both"/>
        <w:bidi/>
      </w:pPr>
      <w:r>
        <w:t>كما يضع الكتاب خوارزميةً للتحقق من المأثور تبدأ بتحرير الدعوى التفسيرية، ثم جمع طرقها وصيغها ومصادرها، وتصنيفها وظيفياً، وتقويم ثبوتها، ومقارنتها بالسياق والمحكمات والقراءات والمأثور المنافس، ثم تحديد درجة الحجية وصياغة النتيجة مع حدودها، بحيث يصبح التفسير بالمأثور قابلاً للتكرار والاعتراض والتصحيح.</w:t>
      </w:r>
    </w:p>
    <w:p>
      <w:pPr>
        <w:spacing w:line="283" w:lineRule="auto" w:after="80"/>
        <w:ind w:firstLine="397"/>
        <w:jc w:val="both"/>
        <w:bidi/>
      </w:pPr>
      <w:r>
        <w:t>والغاية النهائية ليست تقليل شأن المأثور، بل تحرير منزلته الحقيقية: حفظ بيان الرسول الثابت، والاستفادة من شهادة الجيل الأول وعلوم اللسان والسياق، ومنع رفع الاجتهاد البشري أو الخبر الضعيف أو الإسرائيلية إلى مرتبة كلام الله أو السنة الملزمة.</w:t>
      </w:r>
    </w:p>
    <w:p>
      <w:pPr>
        <w:pStyle w:val="Heading2"/>
        <w:spacing w:line="283" w:lineRule="auto" w:after="120"/>
        <w:jc w:val="right"/>
        <w:keepNext/>
        <w:bidi/>
      </w:pPr>
      <w:r>
        <w:t>المعادلة الحاكمة</w:t>
      </w:r>
    </w:p>
    <w:p>
      <w:pPr>
        <w:spacing w:line="283" w:lineRule="auto" w:after="80"/>
        <w:ind w:firstLine="397"/>
        <w:jc w:val="both"/>
        <w:bidi/>
      </w:pPr>
      <w:r>
        <w:t>القرآن الحاكم ← وبيان الرسول الثابت ← وتصنيف المأثور بحسب الجهة والوظيفة ← والتحقق من الثبوت والمتن ← ورد المأثور إلى السياق والمحكمات والقراءات ← ومقارنة الأقوال المبكرة ← وتحديد مقدار الحجية ← وصياغة التفسير بدرجته وحدوده ← والمراجعة والإصدار.</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الرقم</w:t>
            </w:r>
          </w:p>
        </w:tc>
        <w:tc>
          <w:tcPr>
            <w:tcW w:type="dxa" w:w="3952"/>
            <w:vAlign w:val="center"/>
          </w:tcPr>
          <w:p>
            <w:pPr>
              <w:spacing w:line="283" w:lineRule="auto" w:after="0"/>
              <w:jc w:val="center"/>
              <w:bidi/>
            </w:pPr>
            <w:r>
              <w:rPr>
                <w:b/>
                <w:sz w:val="20"/>
              </w:rPr>
              <w:t>العنوان</w:t>
            </w:r>
          </w:p>
        </w:tc>
      </w:tr>
      <w:tr>
        <w:tc>
          <w:tcPr>
            <w:tcW w:type="dxa" w:w="3952"/>
            <w:vAlign w:val="center"/>
          </w:tcPr>
          <w:p>
            <w:pPr>
              <w:spacing w:line="283" w:lineRule="auto" w:after="0"/>
              <w:jc w:val="right"/>
              <w:bidi/>
            </w:pPr>
            <w:r>
              <w:rPr>
                <w:sz w:val="20"/>
              </w:rPr>
              <w:t>الباب الأول</w:t>
            </w:r>
          </w:p>
        </w:tc>
        <w:tc>
          <w:tcPr>
            <w:tcW w:type="dxa" w:w="3952"/>
            <w:vAlign w:val="center"/>
          </w:tcPr>
          <w:p>
            <w:pPr>
              <w:spacing w:line="283" w:lineRule="auto" w:after="0"/>
              <w:jc w:val="right"/>
              <w:bidi/>
            </w:pPr>
            <w:r>
              <w:rPr>
                <w:sz w:val="20"/>
              </w:rPr>
              <w:t>ماهية التفسير بالمأثور وحدود المصطلح</w:t>
            </w:r>
          </w:p>
        </w:tc>
      </w:tr>
      <w:tr>
        <w:tc>
          <w:tcPr>
            <w:tcW w:type="dxa" w:w="3952"/>
            <w:vAlign w:val="center"/>
          </w:tcPr>
          <w:p>
            <w:pPr>
              <w:spacing w:line="283" w:lineRule="auto" w:after="0"/>
              <w:jc w:val="right"/>
              <w:bidi/>
            </w:pPr>
            <w:r>
              <w:rPr>
                <w:sz w:val="20"/>
              </w:rPr>
              <w:t>الباب الثاني</w:t>
            </w:r>
          </w:p>
        </w:tc>
        <w:tc>
          <w:tcPr>
            <w:tcW w:type="dxa" w:w="3952"/>
            <w:vAlign w:val="center"/>
          </w:tcPr>
          <w:p>
            <w:pPr>
              <w:spacing w:line="283" w:lineRule="auto" w:after="0"/>
              <w:jc w:val="right"/>
              <w:bidi/>
            </w:pPr>
            <w:r>
              <w:rPr>
                <w:sz w:val="20"/>
              </w:rPr>
              <w:t>مراتب المأثور: المرفوع والموقوف والمقطوع والمرسل</w:t>
            </w:r>
          </w:p>
        </w:tc>
      </w:tr>
      <w:tr>
        <w:tc>
          <w:tcPr>
            <w:tcW w:type="dxa" w:w="3952"/>
            <w:vAlign w:val="center"/>
          </w:tcPr>
          <w:p>
            <w:pPr>
              <w:spacing w:line="283" w:lineRule="auto" w:after="0"/>
              <w:jc w:val="right"/>
              <w:bidi/>
            </w:pPr>
            <w:r>
              <w:rPr>
                <w:sz w:val="20"/>
              </w:rPr>
              <w:t>الباب الثالث</w:t>
            </w:r>
          </w:p>
        </w:tc>
        <w:tc>
          <w:tcPr>
            <w:tcW w:type="dxa" w:w="3952"/>
            <w:vAlign w:val="center"/>
          </w:tcPr>
          <w:p>
            <w:pPr>
              <w:spacing w:line="283" w:lineRule="auto" w:after="0"/>
              <w:jc w:val="right"/>
              <w:bidi/>
            </w:pPr>
            <w:r>
              <w:rPr>
                <w:sz w:val="20"/>
              </w:rPr>
              <w:t>بيان الرسول الثابت ومقامه في التفسير</w:t>
            </w:r>
          </w:p>
        </w:tc>
      </w:tr>
      <w:tr>
        <w:tc>
          <w:tcPr>
            <w:tcW w:type="dxa" w:w="3952"/>
            <w:vAlign w:val="center"/>
          </w:tcPr>
          <w:p>
            <w:pPr>
              <w:spacing w:line="283" w:lineRule="auto" w:after="0"/>
              <w:jc w:val="right"/>
              <w:bidi/>
            </w:pPr>
            <w:r>
              <w:rPr>
                <w:sz w:val="20"/>
              </w:rPr>
              <w:t>الباب الرابع</w:t>
            </w:r>
          </w:p>
        </w:tc>
        <w:tc>
          <w:tcPr>
            <w:tcW w:type="dxa" w:w="3952"/>
            <w:vAlign w:val="center"/>
          </w:tcPr>
          <w:p>
            <w:pPr>
              <w:spacing w:line="283" w:lineRule="auto" w:after="0"/>
              <w:jc w:val="right"/>
              <w:bidi/>
            </w:pPr>
            <w:r>
              <w:rPr>
                <w:sz w:val="20"/>
              </w:rPr>
              <w:t>الروايات التفسيرية المرفوعة: الثبوت والوظيفة</w:t>
            </w:r>
          </w:p>
        </w:tc>
      </w:tr>
      <w:tr>
        <w:tc>
          <w:tcPr>
            <w:tcW w:type="dxa" w:w="3952"/>
            <w:vAlign w:val="center"/>
          </w:tcPr>
          <w:p>
            <w:pPr>
              <w:spacing w:line="283" w:lineRule="auto" w:after="0"/>
              <w:jc w:val="right"/>
              <w:bidi/>
            </w:pPr>
            <w:r>
              <w:rPr>
                <w:sz w:val="20"/>
              </w:rPr>
              <w:t>الباب الخامس</w:t>
            </w:r>
          </w:p>
        </w:tc>
        <w:tc>
          <w:tcPr>
            <w:tcW w:type="dxa" w:w="3952"/>
            <w:vAlign w:val="center"/>
          </w:tcPr>
          <w:p>
            <w:pPr>
              <w:spacing w:line="283" w:lineRule="auto" w:after="0"/>
              <w:jc w:val="right"/>
              <w:bidi/>
            </w:pPr>
            <w:r>
              <w:rPr>
                <w:sz w:val="20"/>
              </w:rPr>
              <w:t>قول الصحابي بين الشهادة والاجتهاد والتطبيق</w:t>
            </w:r>
          </w:p>
        </w:tc>
      </w:tr>
      <w:tr>
        <w:tc>
          <w:tcPr>
            <w:tcW w:type="dxa" w:w="3952"/>
            <w:vAlign w:val="center"/>
          </w:tcPr>
          <w:p>
            <w:pPr>
              <w:spacing w:line="283" w:lineRule="auto" w:after="0"/>
              <w:jc w:val="right"/>
              <w:bidi/>
            </w:pPr>
            <w:r>
              <w:rPr>
                <w:sz w:val="20"/>
              </w:rPr>
              <w:t>الباب السادس</w:t>
            </w:r>
          </w:p>
        </w:tc>
        <w:tc>
          <w:tcPr>
            <w:tcW w:type="dxa" w:w="3952"/>
            <w:vAlign w:val="center"/>
          </w:tcPr>
          <w:p>
            <w:pPr>
              <w:spacing w:line="283" w:lineRule="auto" w:after="0"/>
              <w:jc w:val="right"/>
              <w:bidi/>
            </w:pPr>
            <w:r>
              <w:rPr>
                <w:sz w:val="20"/>
              </w:rPr>
              <w:t>قول التابعي ومدارس التفسير الأولى</w:t>
            </w:r>
          </w:p>
        </w:tc>
      </w:tr>
      <w:tr>
        <w:tc>
          <w:tcPr>
            <w:tcW w:type="dxa" w:w="3952"/>
            <w:vAlign w:val="center"/>
          </w:tcPr>
          <w:p>
            <w:pPr>
              <w:spacing w:line="283" w:lineRule="auto" w:after="0"/>
              <w:jc w:val="right"/>
              <w:bidi/>
            </w:pPr>
            <w:r>
              <w:rPr>
                <w:sz w:val="20"/>
              </w:rPr>
              <w:t>الباب السابع</w:t>
            </w:r>
          </w:p>
        </w:tc>
        <w:tc>
          <w:tcPr>
            <w:tcW w:type="dxa" w:w="3952"/>
            <w:vAlign w:val="center"/>
          </w:tcPr>
          <w:p>
            <w:pPr>
              <w:spacing w:line="283" w:lineRule="auto" w:after="0"/>
              <w:jc w:val="right"/>
              <w:bidi/>
            </w:pPr>
            <w:r>
              <w:rPr>
                <w:sz w:val="20"/>
              </w:rPr>
              <w:t>أسباب النزول والقصص والمصاديق داخل المأثور</w:t>
            </w:r>
          </w:p>
        </w:tc>
      </w:tr>
      <w:tr>
        <w:tc>
          <w:tcPr>
            <w:tcW w:type="dxa" w:w="3952"/>
            <w:vAlign w:val="center"/>
          </w:tcPr>
          <w:p>
            <w:pPr>
              <w:spacing w:line="283" w:lineRule="auto" w:after="0"/>
              <w:jc w:val="right"/>
              <w:bidi/>
            </w:pPr>
            <w:r>
              <w:rPr>
                <w:sz w:val="20"/>
              </w:rPr>
              <w:t>الباب الثامن</w:t>
            </w:r>
          </w:p>
        </w:tc>
        <w:tc>
          <w:tcPr>
            <w:tcW w:type="dxa" w:w="3952"/>
            <w:vAlign w:val="center"/>
          </w:tcPr>
          <w:p>
            <w:pPr>
              <w:spacing w:line="283" w:lineRule="auto" w:after="0"/>
              <w:jc w:val="right"/>
              <w:bidi/>
            </w:pPr>
            <w:r>
              <w:rPr>
                <w:sz w:val="20"/>
              </w:rPr>
              <w:t>القراءات التفسيرية والوقف واللسان المنقول</w:t>
            </w:r>
          </w:p>
        </w:tc>
      </w:tr>
      <w:tr>
        <w:tc>
          <w:tcPr>
            <w:tcW w:type="dxa" w:w="3952"/>
            <w:vAlign w:val="center"/>
          </w:tcPr>
          <w:p>
            <w:pPr>
              <w:spacing w:line="283" w:lineRule="auto" w:after="0"/>
              <w:jc w:val="right"/>
              <w:bidi/>
            </w:pPr>
            <w:r>
              <w:rPr>
                <w:sz w:val="20"/>
              </w:rPr>
              <w:t>الباب التاسع</w:t>
            </w:r>
          </w:p>
        </w:tc>
        <w:tc>
          <w:tcPr>
            <w:tcW w:type="dxa" w:w="3952"/>
            <w:vAlign w:val="center"/>
          </w:tcPr>
          <w:p>
            <w:pPr>
              <w:spacing w:line="283" w:lineRule="auto" w:after="0"/>
              <w:jc w:val="right"/>
              <w:bidi/>
            </w:pPr>
            <w:r>
              <w:rPr>
                <w:sz w:val="20"/>
              </w:rPr>
              <w:t>الإسرائيليات ومصادر القصص والتفاصيل</w:t>
            </w:r>
          </w:p>
        </w:tc>
      </w:tr>
      <w:tr>
        <w:tc>
          <w:tcPr>
            <w:tcW w:type="dxa" w:w="3952"/>
            <w:vAlign w:val="center"/>
          </w:tcPr>
          <w:p>
            <w:pPr>
              <w:spacing w:line="283" w:lineRule="auto" w:after="0"/>
              <w:jc w:val="right"/>
              <w:bidi/>
            </w:pPr>
            <w:r>
              <w:rPr>
                <w:sz w:val="20"/>
              </w:rPr>
              <w:t>الباب العاشر</w:t>
            </w:r>
          </w:p>
        </w:tc>
        <w:tc>
          <w:tcPr>
            <w:tcW w:type="dxa" w:w="3952"/>
            <w:vAlign w:val="center"/>
          </w:tcPr>
          <w:p>
            <w:pPr>
              <w:spacing w:line="283" w:lineRule="auto" w:after="0"/>
              <w:jc w:val="right"/>
              <w:bidi/>
            </w:pPr>
            <w:r>
              <w:rPr>
                <w:sz w:val="20"/>
              </w:rPr>
              <w:t>التفسير بالمثال والتطبيق والحصر الدلالي</w:t>
            </w:r>
          </w:p>
        </w:tc>
      </w:tr>
      <w:tr>
        <w:tc>
          <w:tcPr>
            <w:tcW w:type="dxa" w:w="3952"/>
            <w:vAlign w:val="center"/>
          </w:tcPr>
          <w:p>
            <w:pPr>
              <w:spacing w:line="283" w:lineRule="auto" w:after="0"/>
              <w:jc w:val="right"/>
              <w:bidi/>
            </w:pPr>
            <w:r>
              <w:rPr>
                <w:sz w:val="20"/>
              </w:rPr>
              <w:t>الباب الحادي عشر</w:t>
            </w:r>
          </w:p>
        </w:tc>
        <w:tc>
          <w:tcPr>
            <w:tcW w:type="dxa" w:w="3952"/>
            <w:vAlign w:val="center"/>
          </w:tcPr>
          <w:p>
            <w:pPr>
              <w:spacing w:line="283" w:lineRule="auto" w:after="0"/>
              <w:jc w:val="right"/>
              <w:bidi/>
            </w:pPr>
            <w:r>
              <w:rPr>
                <w:sz w:val="20"/>
              </w:rPr>
              <w:t>اختلاف المأثور وتعارض الأقوال والترجيح</w:t>
            </w:r>
          </w:p>
        </w:tc>
      </w:tr>
      <w:tr>
        <w:tc>
          <w:tcPr>
            <w:tcW w:type="dxa" w:w="3952"/>
            <w:vAlign w:val="center"/>
          </w:tcPr>
          <w:p>
            <w:pPr>
              <w:spacing w:line="283" w:lineRule="auto" w:after="0"/>
              <w:jc w:val="right"/>
              <w:bidi/>
            </w:pPr>
            <w:r>
              <w:rPr>
                <w:sz w:val="20"/>
              </w:rPr>
              <w:t>الباب الثاني عشر</w:t>
            </w:r>
          </w:p>
        </w:tc>
        <w:tc>
          <w:tcPr>
            <w:tcW w:type="dxa" w:w="3952"/>
            <w:vAlign w:val="center"/>
          </w:tcPr>
          <w:p>
            <w:pPr>
              <w:spacing w:line="283" w:lineRule="auto" w:after="0"/>
              <w:jc w:val="right"/>
              <w:bidi/>
            </w:pPr>
            <w:r>
              <w:rPr>
                <w:sz w:val="20"/>
              </w:rPr>
              <w:t>المأثور والمحكم والمتشابه والسياق والسورة</w:t>
            </w:r>
          </w:p>
        </w:tc>
      </w:tr>
      <w:tr>
        <w:tc>
          <w:tcPr>
            <w:tcW w:type="dxa" w:w="3952"/>
            <w:vAlign w:val="center"/>
          </w:tcPr>
          <w:p>
            <w:pPr>
              <w:spacing w:line="283" w:lineRule="auto" w:after="0"/>
              <w:jc w:val="right"/>
              <w:bidi/>
            </w:pPr>
            <w:r>
              <w:rPr>
                <w:sz w:val="20"/>
              </w:rPr>
              <w:t>الباب الثالث عشر</w:t>
            </w:r>
          </w:p>
        </w:tc>
        <w:tc>
          <w:tcPr>
            <w:tcW w:type="dxa" w:w="3952"/>
            <w:vAlign w:val="center"/>
          </w:tcPr>
          <w:p>
            <w:pPr>
              <w:spacing w:line="283" w:lineRule="auto" w:after="0"/>
              <w:jc w:val="right"/>
              <w:bidi/>
            </w:pPr>
            <w:r>
              <w:rPr>
                <w:sz w:val="20"/>
              </w:rPr>
              <w:t>المأثور في العقيدة والغيبيات والأحكام</w:t>
            </w:r>
          </w:p>
        </w:tc>
      </w:tr>
      <w:tr>
        <w:tc>
          <w:tcPr>
            <w:tcW w:type="dxa" w:w="3952"/>
            <w:vAlign w:val="center"/>
          </w:tcPr>
          <w:p>
            <w:pPr>
              <w:spacing w:line="283" w:lineRule="auto" w:after="0"/>
              <w:jc w:val="right"/>
              <w:bidi/>
            </w:pPr>
            <w:r>
              <w:rPr>
                <w:sz w:val="20"/>
              </w:rPr>
              <w:t>الباب الرابع عشر</w:t>
            </w:r>
          </w:p>
        </w:tc>
        <w:tc>
          <w:tcPr>
            <w:tcW w:type="dxa" w:w="3952"/>
            <w:vAlign w:val="center"/>
          </w:tcPr>
          <w:p>
            <w:pPr>
              <w:spacing w:line="283" w:lineRule="auto" w:after="0"/>
              <w:jc w:val="right"/>
              <w:bidi/>
            </w:pPr>
            <w:r>
              <w:rPr>
                <w:sz w:val="20"/>
              </w:rPr>
              <w:t>المصنفات الكبرى في التفسير بالمأثور ومناهجها</w:t>
            </w:r>
          </w:p>
        </w:tc>
      </w:tr>
      <w:tr>
        <w:tc>
          <w:tcPr>
            <w:tcW w:type="dxa" w:w="3952"/>
            <w:vAlign w:val="center"/>
          </w:tcPr>
          <w:p>
            <w:pPr>
              <w:spacing w:line="283" w:lineRule="auto" w:after="0"/>
              <w:jc w:val="right"/>
              <w:bidi/>
            </w:pPr>
            <w:r>
              <w:rPr>
                <w:sz w:val="20"/>
              </w:rPr>
              <w:t>الباب الخامس عشر</w:t>
            </w:r>
          </w:p>
        </w:tc>
        <w:tc>
          <w:tcPr>
            <w:tcW w:type="dxa" w:w="3952"/>
            <w:vAlign w:val="center"/>
          </w:tcPr>
          <w:p>
            <w:pPr>
              <w:spacing w:line="283" w:lineRule="auto" w:after="0"/>
              <w:jc w:val="right"/>
              <w:bidi/>
            </w:pPr>
            <w:r>
              <w:rPr>
                <w:sz w:val="20"/>
              </w:rPr>
              <w:t>مغالطات الاحتجاج بالمأثور ومخاطر إلغائه</w:t>
            </w:r>
          </w:p>
        </w:tc>
      </w:tr>
      <w:tr>
        <w:tc>
          <w:tcPr>
            <w:tcW w:type="dxa" w:w="3952"/>
            <w:vAlign w:val="center"/>
          </w:tcPr>
          <w:p>
            <w:pPr>
              <w:spacing w:line="283" w:lineRule="auto" w:after="0"/>
              <w:jc w:val="right"/>
              <w:bidi/>
            </w:pPr>
            <w:r>
              <w:rPr>
                <w:sz w:val="20"/>
              </w:rPr>
              <w:t>الباب السادس عشر</w:t>
            </w:r>
          </w:p>
        </w:tc>
        <w:tc>
          <w:tcPr>
            <w:tcW w:type="dxa" w:w="3952"/>
            <w:vAlign w:val="center"/>
          </w:tcPr>
          <w:p>
            <w:pPr>
              <w:spacing w:line="283" w:lineRule="auto" w:after="0"/>
              <w:jc w:val="right"/>
              <w:bidi/>
            </w:pPr>
            <w:r>
              <w:rPr>
                <w:sz w:val="20"/>
              </w:rPr>
              <w:t>الخوارزمية والمصفوفة الحاسوبية للمأثور</w:t>
            </w:r>
          </w:p>
        </w:tc>
      </w:tr>
      <w:tr>
        <w:tc>
          <w:tcPr>
            <w:tcW w:type="dxa" w:w="3952"/>
            <w:vAlign w:val="center"/>
          </w:tcPr>
          <w:p>
            <w:pPr>
              <w:spacing w:line="283" w:lineRule="auto" w:after="0"/>
              <w:jc w:val="right"/>
              <w:bidi/>
            </w:pPr>
            <w:r>
              <w:rPr>
                <w:sz w:val="20"/>
              </w:rPr>
              <w:t>الباب السابع عشر</w:t>
            </w:r>
          </w:p>
        </w:tc>
        <w:tc>
          <w:tcPr>
            <w:tcW w:type="dxa" w:w="3952"/>
            <w:vAlign w:val="center"/>
          </w:tcPr>
          <w:p>
            <w:pPr>
              <w:spacing w:line="283" w:lineRule="auto" w:after="0"/>
              <w:jc w:val="right"/>
              <w:bidi/>
            </w:pPr>
            <w:r>
              <w:rPr>
                <w:sz w:val="20"/>
              </w:rPr>
              <w:t>مختبرات تطبيقية في الروايات والأقوال التفسيرية</w:t>
            </w:r>
          </w:p>
        </w:tc>
      </w:tr>
      <w:tr>
        <w:tc>
          <w:tcPr>
            <w:tcW w:type="dxa" w:w="3952"/>
            <w:vAlign w:val="center"/>
          </w:tcPr>
          <w:p>
            <w:pPr>
              <w:spacing w:line="283" w:lineRule="auto" w:after="0"/>
              <w:jc w:val="right"/>
              <w:bidi/>
            </w:pPr>
            <w:r>
              <w:rPr>
                <w:sz w:val="20"/>
              </w:rPr>
              <w:t>الباب الثامن عشر</w:t>
            </w:r>
          </w:p>
        </w:tc>
        <w:tc>
          <w:tcPr>
            <w:tcW w:type="dxa" w:w="3952"/>
            <w:vAlign w:val="center"/>
          </w:tcPr>
          <w:p>
            <w:pPr>
              <w:spacing w:line="283" w:lineRule="auto" w:after="0"/>
              <w:jc w:val="right"/>
              <w:bidi/>
            </w:pPr>
            <w:r>
              <w:rPr>
                <w:sz w:val="20"/>
              </w:rPr>
              <w:t>النظرية الجامعة وميثاق الباحث في التفسير بالمأثور</w:t>
            </w:r>
          </w:p>
        </w:tc>
      </w:tr>
    </w:tbl>
    <w:p/>
    <w:p>
      <w:r>
        <w:br w:type="page"/>
      </w:r>
    </w:p>
    <w:p>
      <w:pPr>
        <w:pStyle w:val="Heading1"/>
        <w:spacing w:line="283" w:lineRule="auto" w:after="120"/>
        <w:jc w:val="right"/>
        <w:keepNext/>
        <w:bidi/>
      </w:pPr>
      <w:r>
        <w:t>الباب الأول: ماهية التفسير بالمأثور وحدود المصطلح</w:t>
      </w:r>
    </w:p>
    <w:p>
      <w:pPr>
        <w:spacing w:line="283" w:lineRule="auto" w:after="80"/>
        <w:ind w:firstLine="397"/>
        <w:jc w:val="both"/>
        <w:bidi/>
      </w:pPr>
      <w:r>
        <w:t>التفسير بالمأثور مظلة تاريخية تحتاج إلى تفكيك وظيفي ولا يجوز التعامل معها كمرتبة حجية واحدة.</w:t>
      </w:r>
    </w:p>
    <w:p>
      <w:pPr>
        <w:pStyle w:val="Heading2"/>
        <w:spacing w:line="283" w:lineRule="auto" w:after="120"/>
        <w:jc w:val="right"/>
        <w:keepNext/>
        <w:bidi/>
      </w:pPr>
      <w:r>
        <w:t>سؤال الباب ومجاله</w:t>
      </w:r>
    </w:p>
    <w:p>
      <w:pPr>
        <w:spacing w:line="283" w:lineRule="auto" w:after="80"/>
        <w:ind w:firstLine="397"/>
        <w:jc w:val="both"/>
        <w:bidi/>
      </w:pPr>
      <w:r>
        <w:t>التفسير بالمأثور مظلة تاريخية تحتاج إلى تفكيك وظيفي ولا يجوز التعامل معها كمرتبة حجية واحدة.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بـ«المصطلح» و«النوع»،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بـ«الوظيفة»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ينشأ تعريف تشغيلي يمنع الجمع بين المختلفات.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«ماهية التفسير بالمأثور وحدود المصطلح»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التفسير بالمأثور مظلة تاريخية تحتاج إلى تفكيك وظيفي ولا يجوز التعامل معها كمرتبة حجية واحدة.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بـ«النوع» و«الوظيفة»،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بـ«الحجية»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ينشأ تعريف تشغيلي يمنع الجمع بين المختلفات.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«ماهية التفسير بالمأثور وحدود المصطلح»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التفسير بالمأثور مظلة تاريخية تحتاج إلى تفكيك وظيفي ولا يجوز التعامل معها كمرتبة حجية واحدة.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بـ«الوظيفة» و«الحجية»،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بـ«التاريخ»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ينشأ تعريف تشغيلي يمنع الجمع بين المختلفات.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«ماهية التفسير بالمأثور وحدود المصطلح»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التفسير بالمأثور مظلة تاريخية تحتاج إلى تفكيك وظيفي ولا يجوز التعامل معها كمرتبة حجية واحدة.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بـ«الحجية» و«التاريخ»،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بـ«المصطلح»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ينشأ تعريف تشغيلي يمنع الجمع بين المختلفات.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«ماهية التفسير بالمأثور وحدود المصطلح»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التفسير بالمأثور مظلة تاريخية تحتاج إلى تفكيك وظيفي ولا يجوز التعامل معها كمرتبة حجية واحدة.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بـ«التاريخ» و«المصطلح»،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بـ«النوع»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ينشأ تعريف تشغيلي يمنع الجمع بين المختلفات.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«ماهية التفسير بالمأثور وحدود المصطلح»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التفسير بالمأثور مظلة تاريخية تحتاج إلى تفكيك وظيفي ولا يجوز التعامل معها كمرتبة حجية واحدة.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بـ«المصطلح» و«النوع»،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بـ«الوظيفة»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ينشأ تعريف تشغيلي يمنع الجمع بين المختلفات.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«ماهية التفسير بالمأثور وحدود المصطلح»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التفسير بالمأثور مظلة تاريخية تحتاج إلى تفكيك وظيفي ولا يجوز التعامل معها كمرتبة حجية واحدة.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بـ«النوع» و«الوظيفة»،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بـ«الحجية»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ينشأ تعريف تشغيلي يمنع الجمع بين المختلفات.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«ماهية التفسير بالمأثور وحدود المصطلح»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الثاني: مراتب المأثور: المرفوع والموقوف والمقطوع والمرسل</w:t>
      </w:r>
    </w:p>
    <w:p>
      <w:pPr>
        <w:spacing w:line="283" w:lineRule="auto" w:after="80"/>
        <w:ind w:firstLine="397"/>
        <w:jc w:val="both"/>
        <w:bidi/>
      </w:pPr>
      <w:r>
        <w:t>جهة النسبة تصف من نُسب إليه القول، ولا تكفي وحدها لتحديد الحجية أو الثبوت.</w:t>
      </w:r>
    </w:p>
    <w:p>
      <w:pPr>
        <w:pStyle w:val="Heading2"/>
        <w:spacing w:line="283" w:lineRule="auto" w:after="120"/>
        <w:jc w:val="right"/>
        <w:keepNext/>
        <w:bidi/>
      </w:pPr>
      <w:r>
        <w:t>سؤال الباب ومجاله</w:t>
      </w:r>
    </w:p>
    <w:p>
      <w:pPr>
        <w:spacing w:line="283" w:lineRule="auto" w:after="80"/>
        <w:ind w:firstLine="397"/>
        <w:jc w:val="both"/>
        <w:bidi/>
      </w:pPr>
      <w:r>
        <w:t>جهة النسبة تصف من نُسب إليه القول، ولا تكفي وحدها لتحديد الحجية أو الثبوت.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بـ«المرفوع» و«الموقوف»،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بـ«المقطوع»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تُفصل جهة النسبة من درجة الثبوت والوظيفة.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«مراتب المأثور: المرفوع والموقوف والمقطوع والمرسل»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جهة النسبة تصف من نُسب إليه القول، ولا تكفي وحدها لتحديد الحجية أو الثبوت.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بـ«الموقوف» و«المقطوع»،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بـ«المرسل»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تُفصل جهة النسبة من درجة الثبوت والوظيفة.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«مراتب المأثور: المرفوع والموقوف والمقطوع والمرسل»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جهة النسبة تصف من نُسب إليه القول، ولا تكفي وحدها لتحديد الحجية أو الثبوت.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بـ«المقطوع» و«المرسل»،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بـ«البلاغ»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تُفصل جهة النسبة من درجة الثبوت والوظيفة.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«مراتب المأثور: المرفوع والموقوف والمقطوع والمرسل»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جهة النسبة تصف من نُسب إليه القول، ولا تكفي وحدها لتحديد الحجية أو الثبوت.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بـ«المرسل» و«البلاغ»،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بـ«المرفوع»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تُفصل جهة النسبة من درجة الثبوت والوظيفة.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«مراتب المأثور: المرفوع والموقوف والمقطوع والمرسل»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جهة النسبة تصف من نُسب إليه القول، ولا تكفي وحدها لتحديد الحجية أو الثبوت.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بـ«البلاغ» و«المرفوع»،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بـ«الموقوف»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تُفصل جهة النسبة من درجة الثبوت والوظيفة.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«مراتب المأثور: المرفوع والموقوف والمقطوع والمرسل»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جهة النسبة تصف من نُسب إليه القول، ولا تكفي وحدها لتحديد الحجية أو الثبوت.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بـ«المرفوع» و«الموقوف»،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بـ«المقطوع»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تُفصل جهة النسبة من درجة الثبوت والوظيفة.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«مراتب المأثور: المرفوع والموقوف والمقطوع والمرسل»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جهة النسبة تصف من نُسب إليه القول، ولا تكفي وحدها لتحديد الحجية أو الثبوت.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بـ«الموقوف» و«المقطوع»،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بـ«المرسل»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تُفصل جهة النسبة من درجة الثبوت والوظيفة.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«مراتب المأثور: المرفوع والموقوف والمقطوع والمرسل»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الثالث: بيان الرسول الثابت ومقامه في التفسير</w:t>
      </w:r>
    </w:p>
    <w:p>
      <w:pPr>
        <w:spacing w:line="283" w:lineRule="auto" w:after="80"/>
        <w:ind w:firstLine="397"/>
        <w:jc w:val="both"/>
        <w:bidi/>
      </w:pPr>
      <w:r>
        <w:t>بيان الرسول الثابت مصدر تفسيري مميز بحكم مقام الرسالة، لكنه يحتاج إلى إثبات النسبة وتحديد نوع البيان.</w:t>
      </w:r>
    </w:p>
    <w:p>
      <w:pPr>
        <w:pStyle w:val="Heading2"/>
        <w:spacing w:line="283" w:lineRule="auto" w:after="120"/>
        <w:jc w:val="right"/>
        <w:keepNext/>
        <w:bidi/>
      </w:pPr>
      <w:r>
        <w:t>سؤال الباب ومجاله</w:t>
      </w:r>
    </w:p>
    <w:p>
      <w:pPr>
        <w:spacing w:line="283" w:lineRule="auto" w:after="80"/>
        <w:ind w:firstLine="397"/>
        <w:jc w:val="both"/>
        <w:bidi/>
      </w:pPr>
      <w:r>
        <w:t>بيان الرسول الثابت مصدر تفسيري مميز بحكم مقام الرسالة، لكنه يحتاج إلى إثبات النسبة وتحديد نوع البيان.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بـ«الرسول» و«البيان»،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بـ«السنة»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مقام البيان من دون عصمة الرواية الناقلة.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«بيان الرسول الثابت ومقامه في التفسير»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بيان الرسول الثابت مصدر تفسيري مميز بحكم مقام الرسالة، لكنه يحتاج إلى إثبات النسبة وتحديد نوع البيان.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بـ«البيان» و«السنة»،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بـ«التطبيق»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مقام البيان من دون عصمة الرواية الناقلة.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«بيان الرسول الثابت ومقامه في التفسير»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بيان الرسول الثابت مصدر تفسيري مميز بحكم مقام الرسالة، لكنه يحتاج إلى إثبات النسبة وتحديد نوع البيان.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بـ«السنة» و«التطبيق»،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بـ«الحجية»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مقام البيان من دون عصمة الرواية الناقلة.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«بيان الرسول الثابت ومقامه في التفسير»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بيان الرسول الثابت مصدر تفسيري مميز بحكم مقام الرسالة، لكنه يحتاج إلى إثبات النسبة وتحديد نوع البيان.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بـ«التطبيق» و«الحجية»،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بـ«الرسول»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مقام البيان من دون عصمة الرواية الناقلة.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«بيان الرسول الثابت ومقامه في التفسير»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بيان الرسول الثابت مصدر تفسيري مميز بحكم مقام الرسالة، لكنه يحتاج إلى إثبات النسبة وتحديد نوع البيان.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بـ«الحجية» و«الرسول»،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بـ«البيان»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مقام البيان من دون عصمة الرواية الناقلة.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«بيان الرسول الثابت ومقامه في التفسير»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بيان الرسول الثابت مصدر تفسيري مميز بحكم مقام الرسالة، لكنه يحتاج إلى إثبات النسبة وتحديد نوع البيان.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بـ«الرسول» و«البيان»،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بـ«السنة»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مقام البيان من دون عصمة الرواية الناقلة.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«بيان الرسول الثابت ومقامه في التفسير»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بيان الرسول الثابت مصدر تفسيري مميز بحكم مقام الرسالة، لكنه يحتاج إلى إثبات النسبة وتحديد نوع البيان.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بـ«البيان» و«السنة»،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بـ«التطبيق»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مقام البيان من دون عصمة الرواية الناقلة.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«بيان الرسول الثابت ومقامه في التفسير»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الرابع: الروايات التفسيرية المرفوعة: الثبوت والوظيفة</w:t>
      </w:r>
    </w:p>
    <w:p>
      <w:pPr>
        <w:spacing w:line="283" w:lineRule="auto" w:after="80"/>
        <w:ind w:firstLine="397"/>
        <w:jc w:val="both"/>
        <w:bidi/>
      </w:pPr>
      <w:r>
        <w:t>الرواية المرفوعة تحتاج إلى نقد الإسناد والمتن والسياق قبل أن تُنسب وظيفة تفسيرية إلى النبي.</w:t>
      </w:r>
    </w:p>
    <w:p>
      <w:pPr>
        <w:pStyle w:val="Heading2"/>
        <w:spacing w:line="283" w:lineRule="auto" w:after="120"/>
        <w:jc w:val="right"/>
        <w:keepNext/>
        <w:bidi/>
      </w:pPr>
      <w:r>
        <w:t>سؤال الباب ومجاله</w:t>
      </w:r>
    </w:p>
    <w:p>
      <w:pPr>
        <w:spacing w:line="283" w:lineRule="auto" w:after="80"/>
        <w:ind w:firstLine="397"/>
        <w:jc w:val="both"/>
        <w:bidi/>
      </w:pPr>
      <w:r>
        <w:t>الرواية المرفوعة تحتاج إلى نقد الإسناد والمتن والسياق قبل أن تُنسب وظيفة تفسيرية إلى النبي.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بـ«السند» و«المتن»،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بـ«السياق»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ثبوت الرواية من صحة التفسير المنسوب.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«الروايات التفسيرية المرفوعة: الثبوت والوظيفة»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الرواية المرفوعة تحتاج إلى نقد الإسناد والمتن والسياق قبل أن تُنسب وظيفة تفسيرية إلى النبي.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بـ«المتن» و«السياق»،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بـ«الوظيفة»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ثبوت الرواية من صحة التفسير المنسوب.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«الروايات التفسيرية المرفوعة: الثبوت والوظيفة»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الرواية المرفوعة تحتاج إلى نقد الإسناد والمتن والسياق قبل أن تُنسب وظيفة تفسيرية إلى النبي.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بـ«السياق» و«الوظيفة»،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بـ«الدعوى»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ثبوت الرواية من صحة التفسير المنسوب.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«الروايات التفسيرية المرفوعة: الثبوت والوظيفة»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الرواية المرفوعة تحتاج إلى نقد الإسناد والمتن والسياق قبل أن تُنسب وظيفة تفسيرية إلى النبي.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بـ«الوظيفة» و«الدعوى»،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بـ«السند»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ثبوت الرواية من صحة التفسير المنسوب.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«الروايات التفسيرية المرفوعة: الثبوت والوظيفة»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الرواية المرفوعة تحتاج إلى نقد الإسناد والمتن والسياق قبل أن تُنسب وظيفة تفسيرية إلى النبي.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بـ«الدعوى» و«السند»،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بـ«المتن»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ثبوت الرواية من صحة التفسير المنسوب.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«الروايات التفسيرية المرفوعة: الثبوت والوظيفة»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الرواية المرفوعة تحتاج إلى نقد الإسناد والمتن والسياق قبل أن تُنسب وظيفة تفسيرية إلى النبي.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بـ«السند» و«المتن»،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بـ«السياق»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ثبوت الرواية من صحة التفسير المنسوب.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«الروايات التفسيرية المرفوعة: الثبوت والوظيفة»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الرواية المرفوعة تحتاج إلى نقد الإسناد والمتن والسياق قبل أن تُنسب وظيفة تفسيرية إلى النبي.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بـ«المتن» و«السياق»،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بـ«الوظيفة»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ثبوت الرواية من صحة التفسير المنسوب.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«الروايات التفسيرية المرفوعة: الثبوت والوظيفة»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الخامس: قول الصحابي بين الشهادة والاجتهاد والتطبيق</w:t>
      </w:r>
    </w:p>
    <w:p>
      <w:pPr>
        <w:spacing w:line="283" w:lineRule="auto" w:after="80"/>
        <w:ind w:firstLine="397"/>
        <w:jc w:val="both"/>
        <w:bidi/>
      </w:pPr>
      <w:r>
        <w:t>قول الصحابي قد يكون شهادةً على نزول أو لسان أو تطبيق، وقد يكون اجتهاداً بشرياً.</w:t>
      </w:r>
    </w:p>
    <w:p>
      <w:pPr>
        <w:pStyle w:val="Heading2"/>
        <w:spacing w:line="283" w:lineRule="auto" w:after="120"/>
        <w:jc w:val="right"/>
        <w:keepNext/>
        <w:bidi/>
      </w:pPr>
      <w:r>
        <w:t>سؤال الباب ومجاله</w:t>
      </w:r>
    </w:p>
    <w:p>
      <w:pPr>
        <w:spacing w:line="283" w:lineRule="auto" w:after="80"/>
        <w:ind w:firstLine="397"/>
        <w:jc w:val="both"/>
        <w:bidi/>
      </w:pPr>
      <w:r>
        <w:t>قول الصحابي قد يكون شهادةً على نزول أو لسان أو تطبيق، وقد يكون اجتهاداً بشرياً.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بـ«الصحابي» و«الشهادة»،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بـ«اللسان»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تتدرج الحجية بحسب نوع المعرفة المنقولة.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الصحابي بين الشهادة والاجتهاد والتطبيق»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قول الصحابي قد يكون شهادةً على نزول أو لسان أو تطبيق، وقد يكون اجتهاداً بشرياً.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بـ«الشهادة» و«اللسان»،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بـ«الاجتهاد»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تتدرج الحجية بحسب نوع المعرفة المنقولة.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الصحابي بين الشهادة والاجتهاد والتطبيق»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قول الصحابي قد يكون شهادةً على نزول أو لسان أو تطبيق، وقد يكون اجتهاداً بشرياً.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بـ«اللسان» و«الاجتهاد»،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بـ«المصداق»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تتدرج الحجية بحسب نوع المعرفة المنقولة.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الصحابي بين الشهادة والاجتهاد والتطبيق»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قول الصحابي قد يكون شهادةً على نزول أو لسان أو تطبيق، وقد يكون اجتهاداً بشرياً.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بـ«الاجتهاد» و«المصداق»،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بـ«الصحابي»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تتدرج الحجية بحسب نوع المعرفة المنقولة.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الصحابي بين الشهادة والاجتهاد والتطبيق»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قول الصحابي قد يكون شهادةً على نزول أو لسان أو تطبيق، وقد يكون اجتهاداً بشرياً.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بـ«المصداق» و«الصحابي»،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بـ«الشهادة»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تتدرج الحجية بحسب نوع المعرفة المنقولة.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الصحابي بين الشهادة والاجتهاد والتطبيق»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قول الصحابي قد يكون شهادةً على نزول أو لسان أو تطبيق، وقد يكون اجتهاداً بشرياً.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بـ«الصحابي» و«الشهادة»،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بـ«اللسان»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تتدرج الحجية بحسب نوع المعرفة المنقولة.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الصحابي بين الشهادة والاجتهاد والتطبيق»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قول الصحابي قد يكون شهادةً على نزول أو لسان أو تطبيق، وقد يكون اجتهاداً بشرياً.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بـ«الشهادة» و«اللسان»،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بـ«الاجتهاد»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تتدرج الحجية بحسب نوع المعرفة المنقولة.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الصحابي بين الشهادة والاجتهاد والتطبيق»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السادس: قول التابعي ومدارس التفسير الأولى</w:t>
      </w:r>
    </w:p>
    <w:p>
      <w:pPr>
        <w:spacing w:line="283" w:lineRule="auto" w:after="80"/>
        <w:ind w:firstLine="397"/>
        <w:jc w:val="both"/>
        <w:bidi/>
      </w:pPr>
      <w:r>
        <w:t>قول التابعي يحمل قيمةً تاريخيةً ولسانيةً ومدرسية، لكنه ليس في رتبة الصحابي ولا الرسول.</w:t>
      </w:r>
    </w:p>
    <w:p>
      <w:pPr>
        <w:pStyle w:val="Heading2"/>
        <w:spacing w:line="283" w:lineRule="auto" w:after="120"/>
        <w:jc w:val="right"/>
        <w:keepNext/>
        <w:bidi/>
      </w:pPr>
      <w:r>
        <w:t>سؤال الباب ومجاله</w:t>
      </w:r>
    </w:p>
    <w:p>
      <w:pPr>
        <w:spacing w:line="283" w:lineRule="auto" w:after="80"/>
        <w:ind w:firstLine="397"/>
        <w:jc w:val="both"/>
        <w:bidi/>
      </w:pPr>
      <w:r>
        <w:t>قول التابعي يحمل قيمةً تاريخيةً ولسانيةً ومدرسية، لكنه ليس في رتبة الصحابي ولا الرسول.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بـ«التابعي» و«المدرسة»،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بـ«التلقي»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تُقرأ مدارس مكة والمدينة والعراق في سياقها.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التابعي ومدارس التفسير الأولى»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قول التابعي يحمل قيمةً تاريخيةً ولسانيةً ومدرسية، لكنه ليس في رتبة الصحابي ولا الرسول.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بـ«المدرسة» و«التلقي»،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بـ«الاجتهاد»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تُقرأ مدارس مكة والمدينة والعراق في سياقها.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التابعي ومدارس التفسير الأولى»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قول التابعي يحمل قيمةً تاريخيةً ولسانيةً ومدرسية، لكنه ليس في رتبة الصحابي ولا الرسول.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بـ«التلقي» و«الاجتهاد»،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بـ«الاختلاف»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تُقرأ مدارس مكة والمدينة والعراق في سياقها.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التابعي ومدارس التفسير الأولى»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قول التابعي يحمل قيمةً تاريخيةً ولسانيةً ومدرسية، لكنه ليس في رتبة الصحابي ولا الرسول.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بـ«الاجتهاد» و«الاختلاف»،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بـ«التابعي»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تُقرأ مدارس مكة والمدينة والعراق في سياقها.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التابعي ومدارس التفسير الأولى»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قول التابعي يحمل قيمةً تاريخيةً ولسانيةً ومدرسية، لكنه ليس في رتبة الصحابي ولا الرسول.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بـ«الاختلاف» و«التابعي»،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بـ«المدرسة»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تُقرأ مدارس مكة والمدينة والعراق في سياقها.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التابعي ومدارس التفسير الأولى»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قول التابعي يحمل قيمةً تاريخيةً ولسانيةً ومدرسية، لكنه ليس في رتبة الصحابي ولا الرسول.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بـ«التابعي» و«المدرسة»،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بـ«التلقي»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تُقرأ مدارس مكة والمدينة والعراق في سياقها.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التابعي ومدارس التفسير الأولى»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قول التابعي يحمل قيمةً تاريخيةً ولسانيةً ومدرسية، لكنه ليس في رتبة الصحابي ولا الرسول.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بـ«المدرسة» و«التلقي»،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بـ«الاجتهاد»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تُقرأ مدارس مكة والمدينة والعراق في سياقها.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«قول التابعي ومدارس التفسير الأولى»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السابع: أسباب النزول والقصص والمصاديق داخل المأثور</w:t>
      </w:r>
    </w:p>
    <w:p>
      <w:pPr>
        <w:spacing w:line="283" w:lineRule="auto" w:after="80"/>
        <w:ind w:firstLine="397"/>
        <w:jc w:val="both"/>
        <w:bidi/>
      </w:pPr>
      <w:r>
        <w:t>كثير مما سمي أسباب نزول أو قصصاً قد يكون تفسيراً بالمصداق أو روايةً شارحةً لا سبباً مباشراً.</w:t>
      </w:r>
    </w:p>
    <w:p>
      <w:pPr>
        <w:pStyle w:val="Heading2"/>
        <w:spacing w:line="283" w:lineRule="auto" w:after="120"/>
        <w:jc w:val="right"/>
        <w:keepNext/>
        <w:bidi/>
      </w:pPr>
      <w:r>
        <w:t>سؤال الباب ومجاله</w:t>
      </w:r>
    </w:p>
    <w:p>
      <w:pPr>
        <w:spacing w:line="283" w:lineRule="auto" w:after="80"/>
        <w:ind w:firstLine="397"/>
        <w:jc w:val="both"/>
        <w:bidi/>
      </w:pPr>
      <w:r>
        <w:t>كثير مما سمي أسباب نزول أو قصصاً قد يكون تفسيراً بالمصداق أو روايةً شارحةً لا سبباً مباشراً.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بـ«السبب» و«القصة»،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بـ«المصداق»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يُمنع تحويل المثال التاريخي إلى قيد على النص.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«أسباب النزول والقصص والمصاديق داخل 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كثير مما سمي أسباب نزول أو قصصاً قد يكون تفسيراً بالمصداق أو روايةً شارحةً لا سبباً مباشراً.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بـ«القصة» و«المصداق»،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بـ«الواقعة»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يُمنع تحويل المثال التاريخي إلى قيد على النص.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«أسباب النزول والقصص والمصاديق داخل 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كثير مما سمي أسباب نزول أو قصصاً قد يكون تفسيراً بالمصداق أو روايةً شارحةً لا سبباً مباشراً.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بـ«المصداق» و«الواقعة»،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بـ«التطبيق»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يُمنع تحويل المثال التاريخي إلى قيد على النص.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«أسباب النزول والقصص والمصاديق داخل 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كثير مما سمي أسباب نزول أو قصصاً قد يكون تفسيراً بالمصداق أو روايةً شارحةً لا سبباً مباشراً.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بـ«الواقعة» و«التطبيق»،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بـ«السبب»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يُمنع تحويل المثال التاريخي إلى قيد على النص.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«أسباب النزول والقصص والمصاديق داخل 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كثير مما سمي أسباب نزول أو قصصاً قد يكون تفسيراً بالمصداق أو روايةً شارحةً لا سبباً مباشراً.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بـ«التطبيق» و«السبب»،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بـ«القصة»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يُمنع تحويل المثال التاريخي إلى قيد على النص.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«أسباب النزول والقصص والمصاديق داخل 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كثير مما سمي أسباب نزول أو قصصاً قد يكون تفسيراً بالمصداق أو روايةً شارحةً لا سبباً مباشراً.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بـ«السبب» و«القصة»،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بـ«المصداق»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يُمنع تحويل المثال التاريخي إلى قيد على النص.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«أسباب النزول والقصص والمصاديق داخل 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كثير مما سمي أسباب نزول أو قصصاً قد يكون تفسيراً بالمصداق أو روايةً شارحةً لا سبباً مباشراً.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بـ«القصة» و«المصداق»،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بـ«الواقعة»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يُمنع تحويل المثال التاريخي إلى قيد على النص.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«أسباب النزول والقصص والمصاديق داخل 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الثامن: القراءات التفسيرية والوقف واللسان المنقول</w:t>
      </w:r>
    </w:p>
    <w:p>
      <w:pPr>
        <w:spacing w:line="283" w:lineRule="auto" w:after="80"/>
        <w:ind w:firstLine="397"/>
        <w:jc w:val="both"/>
        <w:bidi/>
      </w:pPr>
      <w:r>
        <w:t>القراءات والوقف واللغة المنقولة مصادر بيان تحتاج إلى تمييز القراءة الثابتة من التوجيه التفسيري.</w:t>
      </w:r>
    </w:p>
    <w:p>
      <w:pPr>
        <w:pStyle w:val="Heading2"/>
        <w:spacing w:line="283" w:lineRule="auto" w:after="120"/>
        <w:jc w:val="right"/>
        <w:keepNext/>
        <w:bidi/>
      </w:pPr>
      <w:r>
        <w:t>سؤال الباب ومجاله</w:t>
      </w:r>
    </w:p>
    <w:p>
      <w:pPr>
        <w:spacing w:line="283" w:lineRule="auto" w:after="80"/>
        <w:ind w:firstLine="397"/>
        <w:jc w:val="both"/>
        <w:bidi/>
      </w:pPr>
      <w:r>
        <w:t>القراءات والوقف واللغة المنقولة مصادر بيان تحتاج إلى تمييز القراءة الثابتة من التوجيه التفسيري.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بـ«القراءة» و«الوقف»،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بـ«اللسان»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النص من الخلط بالتفسير المنقول.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«القراءات التفسيرية والوقف واللسان المنقول»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القراءات والوقف واللغة المنقولة مصادر بيان تحتاج إلى تمييز القراءة الثابتة من التوجيه التفسيري.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بـ«الوقف» و«اللسان»،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بـ«النقل»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النص من الخلط بالتفسير المنقول.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«القراءات التفسيرية والوقف واللسان المنقول»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القراءات والوقف واللغة المنقولة مصادر بيان تحتاج إلى تمييز القراءة الثابتة من التوجيه التفسيري.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بـ«اللسان» و«النقل»،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بـ«التوجيه»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النص من الخلط بالتفسير المنقول.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«القراءات التفسيرية والوقف واللسان المنقول»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القراءات والوقف واللغة المنقولة مصادر بيان تحتاج إلى تمييز القراءة الثابتة من التوجيه التفسيري.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بـ«النقل» و«التوجيه»،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بـ«القراءة»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النص من الخلط بالتفسير المنقول.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«القراءات التفسيرية والوقف واللسان المنقول»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القراءات والوقف واللغة المنقولة مصادر بيان تحتاج إلى تمييز القراءة الثابتة من التوجيه التفسيري.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بـ«التوجيه» و«القراءة»،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بـ«الوقف»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النص من الخلط بالتفسير المنقول.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«القراءات التفسيرية والوقف واللسان المنقول»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القراءات والوقف واللغة المنقولة مصادر بيان تحتاج إلى تمييز القراءة الثابتة من التوجيه التفسيري.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بـ«القراءة» و«الوقف»،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بـ«اللسان»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النص من الخلط بالتفسير المنقول.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«القراءات التفسيرية والوقف واللسان المنقول»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القراءات والوقف واللغة المنقولة مصادر بيان تحتاج إلى تمييز القراءة الثابتة من التوجيه التفسيري.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بـ«الوقف» و«اللسان»،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بـ«النقل»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النص من الخلط بالتفسير المنقول.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«القراءات التفسيرية والوقف واللسان المنقول»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التاسع: الإسرائيليات ومصادر القصص والتفاصيل</w:t>
      </w:r>
    </w:p>
    <w:p>
      <w:pPr>
        <w:spacing w:line="283" w:lineRule="auto" w:after="80"/>
        <w:ind w:firstLine="397"/>
        <w:jc w:val="both"/>
        <w:bidi/>
      </w:pPr>
      <w:r>
        <w:t>الإسرائيليات مادة تاريخية متفاوتة لا تُقبل أو تُرد بالجملة، ولا تُملأ بها فجوات القصص القرآني بلا حاجة ودليل.</w:t>
      </w:r>
    </w:p>
    <w:p>
      <w:pPr>
        <w:pStyle w:val="Heading2"/>
        <w:spacing w:line="283" w:lineRule="auto" w:after="120"/>
        <w:jc w:val="right"/>
        <w:keepNext/>
        <w:bidi/>
      </w:pPr>
      <w:r>
        <w:t>سؤال الباب ومجاله</w:t>
      </w:r>
    </w:p>
    <w:p>
      <w:pPr>
        <w:spacing w:line="283" w:lineRule="auto" w:after="80"/>
        <w:ind w:firstLine="397"/>
        <w:jc w:val="both"/>
        <w:bidi/>
      </w:pPr>
      <w:r>
        <w:t>الإسرائيليات مادة تاريخية متفاوتة لا تُقبل أو تُرد بالجملة، ولا تُملأ بها فجوات القصص القرآني بلا حاجة ودليل.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بـ«الإسرائيليات» و«القصص»،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بـ«المصدر»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تُقيد وظيفتها وتُمنع من صناعة العقيدة والصورة النبوية.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«الإسرائيليات ومصادر القصص والتفاصيل»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الإسرائيليات مادة تاريخية متفاوتة لا تُقبل أو تُرد بالجملة، ولا تُملأ بها فجوات القصص القرآني بلا حاجة ودليل.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بـ«القصص» و«المصدر»،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بـ«التفصيل»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تُقيد وظيفتها وتُمنع من صناعة العقيدة والصورة النبوية.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«الإسرائيليات ومصادر القصص والتفاصيل»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الإسرائيليات مادة تاريخية متفاوتة لا تُقبل أو تُرد بالجملة، ولا تُملأ بها فجوات القصص القرآني بلا حاجة ودليل.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بـ«المصدر» و«التفصيل»،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بـ«الحجية»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تُقيد وظيفتها وتُمنع من صناعة العقيدة والصورة النبوية.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«الإسرائيليات ومصادر القصص والتفاصيل»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الإسرائيليات مادة تاريخية متفاوتة لا تُقبل أو تُرد بالجملة، ولا تُملأ بها فجوات القصص القرآني بلا حاجة ودليل.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بـ«التفصيل» و«الحجية»،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بـ«الإسرائيليات»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تُقيد وظيفتها وتُمنع من صناعة العقيدة والصورة النبوية.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«الإسرائيليات ومصادر القصص والتفاصيل»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الإسرائيليات مادة تاريخية متفاوتة لا تُقبل أو تُرد بالجملة، ولا تُملأ بها فجوات القصص القرآني بلا حاجة ودليل.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بـ«الحجية» و«الإسرائيليات»،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بـ«القصص»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تُقيد وظيفتها وتُمنع من صناعة العقيدة والصورة النبوية.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«الإسرائيليات ومصادر القصص والتفاصيل»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الإسرائيليات مادة تاريخية متفاوتة لا تُقبل أو تُرد بالجملة، ولا تُملأ بها فجوات القصص القرآني بلا حاجة ودليل.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بـ«الإسرائيليات» و«القصص»،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بـ«المصدر»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تُقيد وظيفتها وتُمنع من صناعة العقيدة والصورة النبوية.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«الإسرائيليات ومصادر القصص والتفاصيل»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الإسرائيليات مادة تاريخية متفاوتة لا تُقبل أو تُرد بالجملة، ولا تُملأ بها فجوات القصص القرآني بلا حاجة ودليل.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بـ«القصص» و«المصدر»،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بـ«التفصيل»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تُقيد وظيفتها وتُمنع من صناعة العقيدة والصورة النبوية.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«الإسرائيليات ومصادر القصص والتفاصيل»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العاشر: التفسير بالمثال والتطبيق والحصر الدلالي</w:t>
      </w:r>
    </w:p>
    <w:p>
      <w:pPr>
        <w:spacing w:line="283" w:lineRule="auto" w:after="80"/>
        <w:ind w:firstLine="397"/>
        <w:jc w:val="both"/>
        <w:bidi/>
      </w:pPr>
      <w:r>
        <w:t>قول السلف «نزلت في» أو «هي كذا» قد يكون مثالاً أو تطبيقاً، ولا يساوي الحصر الدلالي.</w:t>
      </w:r>
    </w:p>
    <w:p>
      <w:pPr>
        <w:pStyle w:val="Heading2"/>
        <w:spacing w:line="283" w:lineRule="auto" w:after="120"/>
        <w:jc w:val="right"/>
        <w:keepNext/>
        <w:bidi/>
      </w:pPr>
      <w:r>
        <w:t>سؤال الباب ومجاله</w:t>
      </w:r>
    </w:p>
    <w:p>
      <w:pPr>
        <w:spacing w:line="283" w:lineRule="auto" w:after="80"/>
        <w:ind w:firstLine="397"/>
        <w:jc w:val="both"/>
        <w:bidi/>
      </w:pPr>
      <w:r>
        <w:t>قول السلف «نزلت في» أو «هي كذا» قد يكون مثالاً أو تطبيقاً، ولا يساوي الحصر الدلالي.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بـ«المثال» و«التطبيق»،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بـ«الحصر»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بيان المصداق من تعريف المفهوم.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«التفسير بالمثال والتطبيق والحصر الدلالي»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قول السلف «نزلت في» أو «هي كذا» قد يكون مثالاً أو تطبيقاً، ولا يساوي الحصر الدلالي.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بـ«التطبيق» و«الحصر»،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بـ«العموم»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بيان المصداق من تعريف المفهوم.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«التفسير بالمثال والتطبيق والحصر الدلالي»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قول السلف «نزلت في» أو «هي كذا» قد يكون مثالاً أو تطبيقاً، ولا يساوي الحصر الدلالي.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بـ«الحصر» و«العموم»،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بـ«المصداق»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بيان المصداق من تعريف المفهوم.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«التفسير بالمثال والتطبيق والحصر الدلالي»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قول السلف «نزلت في» أو «هي كذا» قد يكون مثالاً أو تطبيقاً، ولا يساوي الحصر الدلالي.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بـ«العموم» و«المصداق»،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بـ«المثال»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بيان المصداق من تعريف المفهوم.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«التفسير بالمثال والتطبيق والحصر الدلالي»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قول السلف «نزلت في» أو «هي كذا» قد يكون مثالاً أو تطبيقاً، ولا يساوي الحصر الدلالي.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بـ«المصداق» و«المثال»،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بـ«التطبيق»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بيان المصداق من تعريف المفهوم.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«التفسير بالمثال والتطبيق والحصر الدلالي»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قول السلف «نزلت في» أو «هي كذا» قد يكون مثالاً أو تطبيقاً، ولا يساوي الحصر الدلالي.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بـ«المثال» و«التطبيق»،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بـ«الحصر»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بيان المصداق من تعريف المفهوم.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«التفسير بالمثال والتطبيق والحصر الدلالي»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قول السلف «نزلت في» أو «هي كذا» قد يكون مثالاً أو تطبيقاً، ولا يساوي الحصر الدلالي.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بـ«التطبيق» و«الحصر»،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بـ«العموم»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يُفصل بيان المصداق من تعريف المفهوم.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«التفسير بالمثال والتطبيق والحصر الدلالي»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الحادي عشر: اختلاف المأثور وتعارض الأقوال والترجيح</w:t>
      </w:r>
    </w:p>
    <w:p>
      <w:pPr>
        <w:spacing w:line="283" w:lineRule="auto" w:after="80"/>
        <w:ind w:firstLine="397"/>
        <w:jc w:val="both"/>
        <w:bidi/>
      </w:pPr>
      <w:r>
        <w:t>اختلاف المأثور يكشف تعدد المدارس والطرق والاجتهادات، ويحتاج إلى جمع وترجيح لا إلى انتقاء.</w:t>
      </w:r>
    </w:p>
    <w:p>
      <w:pPr>
        <w:pStyle w:val="Heading2"/>
        <w:spacing w:line="283" w:lineRule="auto" w:after="120"/>
        <w:jc w:val="right"/>
        <w:keepNext/>
        <w:bidi/>
      </w:pPr>
      <w:r>
        <w:t>سؤال الباب ومجاله</w:t>
      </w:r>
    </w:p>
    <w:p>
      <w:pPr>
        <w:spacing w:line="283" w:lineRule="auto" w:after="80"/>
        <w:ind w:firstLine="397"/>
        <w:jc w:val="both"/>
        <w:bidi/>
      </w:pPr>
      <w:r>
        <w:t>اختلاف المأثور يكشف تعدد المدارس والطرق والاجتهادات، ويحتاج إلى جمع وترجيح لا إلى انتقاء.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بـ«الاختلاف» و«التعارض»،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بـ«الجمع»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قراءات منافسة وتُحفظ الأقوال النافية.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«اختلاف المأثور وتعارض الأقوال والترجيح»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اختلاف المأثور يكشف تعدد المدارس والطرق والاجتهادات، ويحتاج إلى جمع وترجيح لا إلى انتقاء.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بـ«التعارض» و«الجمع»،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بـ«الترجيح»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قراءات منافسة وتُحفظ الأقوال النافية.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«اختلاف المأثور وتعارض الأقوال والترجيح»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اختلاف المأثور يكشف تعدد المدارس والطرق والاجتهادات، ويحتاج إلى جمع وترجيح لا إلى انتقاء.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بـ«الجمع» و«الترجيح»،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بـ«التوقف»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قراءات منافسة وتُحفظ الأقوال النافية.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«اختلاف المأثور وتعارض الأقوال والترجيح»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اختلاف المأثور يكشف تعدد المدارس والطرق والاجتهادات، ويحتاج إلى جمع وترجيح لا إلى انتقاء.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بـ«الترجيح» و«التوقف»،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بـ«الاختلاف»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قراءات منافسة وتُحفظ الأقوال النافية.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«اختلاف المأثور وتعارض الأقوال والترجيح»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اختلاف المأثور يكشف تعدد المدارس والطرق والاجتهادات، ويحتاج إلى جمع وترجيح لا إلى انتقاء.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بـ«التوقف» و«الاختلاف»،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بـ«التعارض»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قراءات منافسة وتُحفظ الأقوال النافية.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«اختلاف المأثور وتعارض الأقوال والترجيح»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اختلاف المأثور يكشف تعدد المدارس والطرق والاجتهادات، ويحتاج إلى جمع وترجيح لا إلى انتقاء.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بـ«الاختلاف» و«التعارض»،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بـ«الجمع»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قراءات منافسة وتُحفظ الأقوال النافية.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«اختلاف المأثور وتعارض الأقوال والترجيح»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اختلاف المأثور يكشف تعدد المدارس والطرق والاجتهادات، ويحتاج إلى جمع وترجيح لا إلى انتقاء.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بـ«التعارض» و«الجمع»،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بـ«الترجيح»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قراءات منافسة وتُحفظ الأقوال النافية.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«اختلاف المأثور وتعارض الأقوال والترجيح»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الثاني عشر: المأثور والمحكم والمتشابه والسياق والسورة</w:t>
      </w:r>
    </w:p>
    <w:p>
      <w:pPr>
        <w:spacing w:line="283" w:lineRule="auto" w:after="80"/>
        <w:ind w:firstLine="397"/>
        <w:jc w:val="both"/>
        <w:bidi/>
      </w:pPr>
      <w:r>
        <w:t>المأثور يُقرأ داخل المحكم والسياق والسورة والتصريف ولا يصبح بديلاً عنها.</w:t>
      </w:r>
    </w:p>
    <w:p>
      <w:pPr>
        <w:pStyle w:val="Heading2"/>
        <w:spacing w:line="283" w:lineRule="auto" w:after="120"/>
        <w:jc w:val="right"/>
        <w:keepNext/>
        <w:bidi/>
      </w:pPr>
      <w:r>
        <w:t>سؤال الباب ومجاله</w:t>
      </w:r>
    </w:p>
    <w:p>
      <w:pPr>
        <w:spacing w:line="283" w:lineRule="auto" w:after="80"/>
        <w:ind w:firstLine="397"/>
        <w:jc w:val="both"/>
        <w:bidi/>
      </w:pPr>
      <w:r>
        <w:t>المأثور يُقرأ داخل المحكم والسياق والسورة والتصريف ولا يصبح بديلاً عنها.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بـ«المحكم» و«السياق»،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بـ«السورة»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تُقاس وظيفة المأثور داخل نظام القرآن.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والمحكم والمتشابه والسياق والسورة»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المأثور يُقرأ داخل المحكم والسياق والسورة والتصريف ولا يصبح بديلاً عنها.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بـ«السياق» و«السورة»،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بـ«التصريف»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تُقاس وظيفة المأثور داخل نظام القرآن.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والمحكم والمتشابه والسياق والسورة»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المأثور يُقرأ داخل المحكم والسياق والسورة والتصريف ولا يصبح بديلاً عنها.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بـ«السورة» و«التصريف»،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بـ«الشبكة»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تُقاس وظيفة المأثور داخل نظام القرآن.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والمحكم والمتشابه والسياق والسورة»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المأثور يُقرأ داخل المحكم والسياق والسورة والتصريف ولا يصبح بديلاً عنها.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بـ«التصريف» و«الشبكة»،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بـ«المحكم»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تُقاس وظيفة المأثور داخل نظام القرآن.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والمحكم والمتشابه والسياق والسورة»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المأثور يُقرأ داخل المحكم والسياق والسورة والتصريف ولا يصبح بديلاً عنها.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بـ«الشبكة» و«المحكم»،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بـ«السياق»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تُقاس وظيفة المأثور داخل نظام القرآن.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والمحكم والمتشابه والسياق والسورة»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المأثور يُقرأ داخل المحكم والسياق والسورة والتصريف ولا يصبح بديلاً عنها.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بـ«المحكم» و«السياق»،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بـ«السورة»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تُقاس وظيفة المأثور داخل نظام القرآن.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والمحكم والمتشابه والسياق والسورة»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المأثور يُقرأ داخل المحكم والسياق والسورة والتصريف ولا يصبح بديلاً عنها.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بـ«السياق» و«السورة»،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بـ«التصريف»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تُقاس وظيفة المأثور داخل نظام القرآن.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والمحكم والمتشابه والسياق والسورة»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الثالث عشر: المأثور في العقيدة والغيبيات والأحكام</w:t>
      </w:r>
    </w:p>
    <w:p>
      <w:pPr>
        <w:spacing w:line="283" w:lineRule="auto" w:after="80"/>
        <w:ind w:firstLine="397"/>
        <w:jc w:val="both"/>
        <w:bidi/>
      </w:pPr>
      <w:r>
        <w:t>ترتفع عتبة الاحتجاج بالمأثور في العقيدة والغيبيات والأحكام عالية الأثر.</w:t>
      </w:r>
    </w:p>
    <w:p>
      <w:pPr>
        <w:pStyle w:val="Heading2"/>
        <w:spacing w:line="283" w:lineRule="auto" w:after="120"/>
        <w:jc w:val="right"/>
        <w:keepNext/>
        <w:bidi/>
      </w:pPr>
      <w:r>
        <w:t>سؤال الباب ومجاله</w:t>
      </w:r>
    </w:p>
    <w:p>
      <w:pPr>
        <w:spacing w:line="283" w:lineRule="auto" w:after="80"/>
        <w:ind w:firstLine="397"/>
        <w:jc w:val="both"/>
        <w:bidi/>
      </w:pPr>
      <w:r>
        <w:t>ترتفع عتبة الاحتجاج بالمأثور في العقيدة والغيبيات والأحكام عالية الأثر.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بـ«العقيدة» و«الغيب»،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بـ«الحكم»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لا يُنشأ أصل ملزم بخبر تفسيري محتمل.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في العقيدة والغيبيات والأحكام»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ترتفع عتبة الاحتجاج بالمأثور في العقيدة والغيبيات والأحكام عالية الأثر.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بـ«الغيب» و«الحكم»،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لا يُنشأ أصل ملزم بخبر تفسيري محتمل.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في العقيدة والغيبيات والأحكام»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ترتفع عتبة الاحتجاج بالمأثور في العقيدة والغيبيات والأحكام عالية الأثر.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بـ«الحكم» و«الحق»،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بـ«العتبة»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لا يُنشأ أصل ملزم بخبر تفسيري محتمل.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في العقيدة والغيبيات والأحكام»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ترتفع عتبة الاحتجاج بالمأثور في العقيدة والغيبيات والأحكام عالية الأثر.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بـ«الحق» و«العتبة»،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بـ«العقيدة»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لا يُنشأ أصل ملزم بخبر تفسيري محتمل.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في العقيدة والغيبيات والأحكام»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ترتفع عتبة الاحتجاج بالمأثور في العقيدة والغيبيات والأحكام عالية الأثر.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بـ«العتبة» و«العقيدة»،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بـ«الغيب»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لا يُنشأ أصل ملزم بخبر تفسيري محتمل.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في العقيدة والغيبيات والأحكام»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ترتفع عتبة الاحتجاج بالمأثور في العقيدة والغيبيات والأحكام عالية الأثر.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بـ«العقيدة» و«الغيب»،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بـ«الحكم»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لا يُنشأ أصل ملزم بخبر تفسيري محتمل.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في العقيدة والغيبيات والأحكام»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ترتفع عتبة الاحتجاج بالمأثور في العقيدة والغيبيات والأحكام عالية الأثر.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بـ«الغيب» و«الحكم»،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لا يُنشأ أصل ملزم بخبر تفسيري محتمل.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«المأثور في العقيدة والغيبيات والأحكام»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الرابع عشر: المصنفات الكبرى في التفسير بالمأثور ومناهجها</w:t>
      </w:r>
    </w:p>
    <w:p>
      <w:pPr>
        <w:spacing w:line="283" w:lineRule="auto" w:after="80"/>
        <w:ind w:firstLine="397"/>
        <w:jc w:val="both"/>
        <w:bidi/>
      </w:pPr>
      <w:r>
        <w:t>كتب المأثور تجمع مواد متعددة ووظائف تحريرية مختلفة، ولا تعني رواية المصنف لكل قول اعتماده له.</w:t>
      </w:r>
    </w:p>
    <w:p>
      <w:pPr>
        <w:pStyle w:val="Heading2"/>
        <w:spacing w:line="283" w:lineRule="auto" w:after="120"/>
        <w:jc w:val="right"/>
        <w:keepNext/>
        <w:bidi/>
      </w:pPr>
      <w:r>
        <w:t>سؤال الباب ومجاله</w:t>
      </w:r>
    </w:p>
    <w:p>
      <w:pPr>
        <w:spacing w:line="283" w:lineRule="auto" w:after="80"/>
        <w:ind w:firstLine="397"/>
        <w:jc w:val="both"/>
        <w:bidi/>
      </w:pPr>
      <w:r>
        <w:t>كتب المأثور تجمع مواد متعددة ووظائف تحريرية مختلفة، ولا تعني رواية المصنف لكل قول اعتماده له.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بـ«المصنف» و«الاختيار»،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بـ«الإسناد»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يُقرأ المصنف بوصفه بنية تحريرية لا مخزناً محايداً.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«المصنفات الكبرى في التفسير بالمأثور ومناهجها»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كتب المأثور تجمع مواد متعددة ووظائف تحريرية مختلفة، ولا تعني رواية المصنف لكل قول اعتماده له.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بـ«الاختيار» و«الإسناد»،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بـ«التبويب»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يُقرأ المصنف بوصفه بنية تحريرية لا مخزناً محايداً.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«المصنفات الكبرى في التفسير بالمأثور ومناهجها»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كتب المأثور تجمع مواد متعددة ووظائف تحريرية مختلفة، ولا تعني رواية المصنف لكل قول اعتماده له.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بـ«الإسناد» و«التبويب»،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بـ«المنهج»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يُقرأ المصنف بوصفه بنية تحريرية لا مخزناً محايداً.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«المصنفات الكبرى في التفسير بالمأثور ومناهجها»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كتب المأثور تجمع مواد متعددة ووظائف تحريرية مختلفة، ولا تعني رواية المصنف لكل قول اعتماده له.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بـ«التبويب» و«المنهج»،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بـ«المصنف»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يُقرأ المصنف بوصفه بنية تحريرية لا مخزناً محايداً.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«المصنفات الكبرى في التفسير بالمأثور ومناهجها»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كتب المأثور تجمع مواد متعددة ووظائف تحريرية مختلفة، ولا تعني رواية المصنف لكل قول اعتماده له.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بـ«المنهج» و«المصنف»،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بـ«الاختيار»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يُقرأ المصنف بوصفه بنية تحريرية لا مخزناً محايداً.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«المصنفات الكبرى في التفسير بالمأثور ومناهجها»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كتب المأثور تجمع مواد متعددة ووظائف تحريرية مختلفة، ولا تعني رواية المصنف لكل قول اعتماده له.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بـ«المصنف» و«الاختيار»،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بـ«الإسناد»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يُقرأ المصنف بوصفه بنية تحريرية لا مخزناً محايداً.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«المصنفات الكبرى في التفسير بالمأثور ومناهجها»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كتب المأثور تجمع مواد متعددة ووظائف تحريرية مختلفة، ولا تعني رواية المصنف لكل قول اعتماده له.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بـ«الاختيار» و«الإسناد»،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بـ«التبويب»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يُقرأ المصنف بوصفه بنية تحريرية لا مخزناً محايداً.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«المصنفات الكبرى في التفسير بالمأثور ومناهجها»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الخامس عشر: مغالطات الاحتجاج بالمأثور ومخاطر إلغائه</w:t>
      </w:r>
    </w:p>
    <w:p>
      <w:pPr>
        <w:spacing w:line="283" w:lineRule="auto" w:after="80"/>
        <w:ind w:firstLine="397"/>
        <w:jc w:val="both"/>
        <w:bidi/>
      </w:pPr>
      <w:r>
        <w:t>التطرف في تقديس المأثور أو إلغائه كلاهما يخل بميزان التفسير.</w:t>
      </w:r>
    </w:p>
    <w:p>
      <w:pPr>
        <w:pStyle w:val="Heading2"/>
        <w:spacing w:line="283" w:lineRule="auto" w:after="120"/>
        <w:jc w:val="right"/>
        <w:keepNext/>
        <w:bidi/>
      </w:pPr>
      <w:r>
        <w:t>سؤال الباب ومجاله</w:t>
      </w:r>
    </w:p>
    <w:p>
      <w:pPr>
        <w:spacing w:line="283" w:lineRule="auto" w:after="80"/>
        <w:ind w:firstLine="397"/>
        <w:jc w:val="both"/>
        <w:bidi/>
      </w:pPr>
      <w:r>
        <w:t>التطرف في تقديس المأثور أو إلغائه كلاهما يخل بميزان التفسير.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بـ«التقديس» و«الإلغاء»،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بـ«الانتقاء»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المأثور في مرتبته المعللة.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«مغالطات الاحتجاج بالمأثور ومخاطر إلغائه»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التطرف في تقديس المأثور أو إلغائه كلاهما يخل بميزان التفسير.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بـ«الإلغاء» و«الانتقاء»،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بـ«الهوى»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المأثور في مرتبته المعللة.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«مغالطات الاحتجاج بالمأثور ومخاطر إلغائه»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التطرف في تقديس المأثور أو إلغائه كلاهما يخل بميزان التفسير.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بـ«الانتقاء» و«الهوى»،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بـ«الميزان»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المأثور في مرتبته المعللة.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«مغالطات الاحتجاج بالمأثور ومخاطر إلغائه»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التطرف في تقديس المأثور أو إلغائه كلاهما يخل بميزان التفسير.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بـ«الهوى» و«الميزان»،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بـ«التقديس»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المأثور في مرتبته المعللة.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«مغالطات الاحتجاج بالمأثور ومخاطر إلغائه»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التطرف في تقديس المأثور أو إلغائه كلاهما يخل بميزان التفسير.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بـ«الميزان» و«التقديس»،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بـ«الإلغاء»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المأثور في مرتبته المعللة.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«مغالطات الاحتجاج بالمأثور ومخاطر إلغائه»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التطرف في تقديس المأثور أو إلغائه كلاهما يخل بميزان التفسير.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بـ«التقديس» و«الإلغاء»،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بـ«الانتقاء»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المأثور في مرتبته المعللة.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«مغالطات الاحتجاج بالمأثور ومخاطر إلغائه»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التطرف في تقديس المأثور أو إلغائه كلاهما يخل بميزان التفسير.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بـ«الإلغاء» و«الانتقاء»،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بـ«الهوى»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يُحفظ المأثور في مرتبته المعللة.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«مغالطات الاحتجاج بالمأثور ومخاطر إلغائه»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السادس عشر: الخوارزمية والمصفوفة الحاسوبية للمأثور</w:t>
      </w:r>
    </w:p>
    <w:p>
      <w:pPr>
        <w:spacing w:line="283" w:lineRule="auto" w:after="80"/>
        <w:ind w:firstLine="397"/>
        <w:jc w:val="both"/>
        <w:bidi/>
      </w:pPr>
      <w:r>
        <w:t>الحوسبة تساعد في جمع الطرق والأقوال والشبكات، لكنها لا تحدد الحجية وحدها.</w:t>
      </w:r>
    </w:p>
    <w:p>
      <w:pPr>
        <w:pStyle w:val="Heading2"/>
        <w:spacing w:line="283" w:lineRule="auto" w:after="120"/>
        <w:jc w:val="right"/>
        <w:keepNext/>
        <w:bidi/>
      </w:pPr>
      <w:r>
        <w:t>سؤال الباب ومجاله</w:t>
      </w:r>
    </w:p>
    <w:p>
      <w:pPr>
        <w:spacing w:line="283" w:lineRule="auto" w:after="80"/>
        <w:ind w:firstLine="397"/>
        <w:jc w:val="both"/>
        <w:bidi/>
      </w:pPr>
      <w:r>
        <w:t>الحوسبة تساعد في جمع الطرق والأقوال والشبكات، لكنها لا تحدد الحجية وحدها.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بـ«الكيان» و«المعرف»،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بـ«الطريق»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مدونة مأثور قابلة للتدقيق.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«الخوارزمية والمصفوفة الحاسوبية للمأثور»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الحوسبة تساعد في جمع الطرق والأقوال والشبكات، لكنها لا تحدد الحجية وحدها.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بـ«المعرف» و«الطريق»،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بـ«التصنيف»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مدونة مأثور قابلة للتدقيق.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«الخوارزمية والمصفوفة الحاسوبية للمأثور»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الحوسبة تساعد في جمع الطرق والأقوال والشبكات، لكنها لا تحدد الحجية وحدها.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بـ«الطريق» و«التصنيف»،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بـ«المراجعة»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مدونة مأثور قابلة للتدقيق.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«الخوارزمية والمصفوفة الحاسوبية للمأثور»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الحوسبة تساعد في جمع الطرق والأقوال والشبكات، لكنها لا تحدد الحجية وحدها.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بـ«التصنيف» و«المراجعة»،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بـ«الكيان»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مدونة مأثور قابلة للتدقيق.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«الخوارزمية والمصفوفة الحاسوبية للمأثور»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الحوسبة تساعد في جمع الطرق والأقوال والشبكات، لكنها لا تحدد الحجية وحدها.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بـ«المراجعة» و«الكيان»،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بـ«المعرف»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مدونة مأثور قابلة للتدقيق.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«الخوارزمية والمصفوفة الحاسوبية للمأثور»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الحوسبة تساعد في جمع الطرق والأقوال والشبكات، لكنها لا تحدد الحجية وحدها.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بـ«الكيان» و«المعرف»،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بـ«الطريق»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مدونة مأثور قابلة للتدقيق.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«الخوارزمية والمصفوفة الحاسوبية للمأثور»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الحوسبة تساعد في جمع الطرق والأقوال والشبكات، لكنها لا تحدد الحجية وحدها.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بـ«المعرف» و«الطريق»،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بـ«التصنيف»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تُبنى مدونة مأثور قابلة للتدقيق.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«الخوارزمية والمصفوفة الحاسوبية للمأثور»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السابع عشر: مختبرات تطبيقية في الروايات والأقوال التفسيرية</w:t>
      </w:r>
    </w:p>
    <w:p>
      <w:pPr>
        <w:spacing w:line="283" w:lineRule="auto" w:after="80"/>
        <w:ind w:firstLine="397"/>
        <w:jc w:val="both"/>
        <w:bidi/>
      </w:pPr>
      <w:r>
        <w:t>المختبرات تكشف أن الحكم يتغير بتغير نوع المأثور وثبوته ووظيفته وسياقه.</w:t>
      </w:r>
    </w:p>
    <w:p>
      <w:pPr>
        <w:pStyle w:val="Heading2"/>
        <w:spacing w:line="283" w:lineRule="auto" w:after="120"/>
        <w:jc w:val="right"/>
        <w:keepNext/>
        <w:bidi/>
      </w:pPr>
      <w:r>
        <w:t>سؤال الباب ومجاله</w:t>
      </w:r>
    </w:p>
    <w:p>
      <w:pPr>
        <w:spacing w:line="283" w:lineRule="auto" w:after="80"/>
        <w:ind w:firstLine="397"/>
        <w:jc w:val="both"/>
        <w:bidi/>
      </w:pPr>
      <w:r>
        <w:t>المختبرات تكشف أن الحكم يتغير بتغير نوع المأثور وثبوته ووظيفته وسياقه.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بـ«التطبيق» و«المقارنة»،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بـ«الثبوت»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تُختبر النظرية على القضايا الحساسة والمتنوعة.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«مختبرات تطبيقية في الروايات والأقوال التفسيرية»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المختبرات تكشف أن الحكم يتغير بتغير نوع المأثور وثبوته ووظيفته وسياقه.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بـ«المقارنة» و«الثبوت»،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بـ«الوظيفة»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تُختبر النظرية على القضايا الحساسة والمتنوعة.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«مختبرات تطبيقية في الروايات والأقوال التفسيرية»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المختبرات تكشف أن الحكم يتغير بتغير نوع المأثور وثبوته ووظيفته وسياقه.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بـ«الثبوت» و«الوظيفة»،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بـ«الحكم»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تُختبر النظرية على القضايا الحساسة والمتنوعة.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«مختبرات تطبيقية في الروايات والأقوال التفسيرية»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المختبرات تكشف أن الحكم يتغير بتغير نوع المأثور وثبوته ووظيفته وسياقه.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بـ«الوظيفة» و«الحكم»،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بـ«التطبيق»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تُختبر النظرية على القضايا الحساسة والمتنوعة.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«مختبرات تطبيقية في الروايات والأقوال التفسيرية»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المختبرات تكشف أن الحكم يتغير بتغير نوع المأثور وثبوته ووظيفته وسياقه.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بـ«الحكم» و«التطبيق»،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بـ«المقارنة»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تُختبر النظرية على القضايا الحساسة والمتنوعة.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«مختبرات تطبيقية في الروايات والأقوال التفسيرية»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المختبرات تكشف أن الحكم يتغير بتغير نوع المأثور وثبوته ووظيفته وسياقه.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بـ«التطبيق» و«المقارنة»،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بـ«الثبوت»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تُختبر النظرية على القضايا الحساسة والمتنوعة.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«مختبرات تطبيقية في الروايات والأقوال التفسيرية»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المختبرات تكشف أن الحكم يتغير بتغير نوع المأثور وثبوته ووظيفته وسياقه.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بـ«المقارنة» و«الثبوت»،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بـ«الوظيفة»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تُختبر النظرية على القضايا الحساسة والمتنوعة.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«مختبرات تطبيقية في الروايات والأقوال التفسيرية»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الباب الثامن عشر: النظرية الجامعة وميثاق الباحث في التفسير بالمأثور</w:t>
      </w:r>
    </w:p>
    <w:p>
      <w:pPr>
        <w:spacing w:line="283" w:lineRule="auto" w:after="80"/>
        <w:ind w:firstLine="397"/>
        <w:jc w:val="both"/>
        <w:bidi/>
      </w:pPr>
      <w:r>
        <w:t>النظرية الجامعة تحفظ القرآن الحاكم وبيان الرسول الثابت ومراتب الشهادة البشرية.</w:t>
      </w:r>
    </w:p>
    <w:p>
      <w:pPr>
        <w:pStyle w:val="Heading2"/>
        <w:spacing w:line="283" w:lineRule="auto" w:after="120"/>
        <w:jc w:val="right"/>
        <w:keepNext/>
        <w:bidi/>
      </w:pPr>
      <w:r>
        <w:t>سؤال الباب ومجاله</w:t>
      </w:r>
    </w:p>
    <w:p>
      <w:pPr>
        <w:spacing w:line="283" w:lineRule="auto" w:after="80"/>
        <w:ind w:firstLine="397"/>
        <w:jc w:val="both"/>
        <w:bidi/>
      </w:pPr>
      <w:r>
        <w:t>النظرية الجامعة تحفظ القرآن الحاكم وبيان الرسول الثابت ومراتب الشهادة البشرية.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بـ«النظرية» و«الميثاق»،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بـ«الحدود»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يستقر منهج مؤسسي قابل للمراجعة.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«النظرية الجامعة وميثاق الباحث في التفسير بالمأثور»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التحرير المفهومي</w:t>
      </w:r>
    </w:p>
    <w:p>
      <w:pPr>
        <w:spacing w:line="283" w:lineRule="auto" w:after="80"/>
        <w:ind w:firstLine="397"/>
        <w:jc w:val="both"/>
        <w:bidi/>
      </w:pPr>
      <w:r>
        <w:t>النظرية الجامعة تحفظ القرآن الحاكم وبيان الرسول الثابت ومراتب الشهادة البشرية.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بـ«الميثاق» و«الحدود»،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بـ«القسط»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يستقر منهج مؤسسي قابل للمراجعة.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«النظرية الجامعة وميثاق الباحث في التفسير بالمأثور»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المدونة والمصادر</w:t>
      </w:r>
    </w:p>
    <w:p>
      <w:pPr>
        <w:spacing w:line="283" w:lineRule="auto" w:after="80"/>
        <w:ind w:firstLine="397"/>
        <w:jc w:val="both"/>
        <w:bidi/>
      </w:pPr>
      <w:r>
        <w:t>النظرية الجامعة تحفظ القرآن الحاكم وبيان الرسول الثابت ومراتب الشهادة البشرية.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بـ«الحدود» و«القسط»،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بـ«الإصدار»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يستقر منهج مؤسسي قابل للمراجعة.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«النظرية الجامعة وميثاق الباحث في التفسير بالمأثور»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منهج التحقق والتحليل</w:t>
      </w:r>
    </w:p>
    <w:p>
      <w:pPr>
        <w:spacing w:line="283" w:lineRule="auto" w:after="80"/>
        <w:ind w:firstLine="397"/>
        <w:jc w:val="both"/>
        <w:bidi/>
      </w:pPr>
      <w:r>
        <w:t>النظرية الجامعة تحفظ القرآن الحاكم وبيان الرسول الثابت ومراتب الشهادة البشرية.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بـ«القسط» و«الإصدار»،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بـ«النظرية»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يستقر منهج مؤسسي قابل للمراجعة.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«النظرية الجامعة وميثاق الباحث في التفسير بالمأثور»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مواطن الخلل والحدود</w:t>
      </w:r>
    </w:p>
    <w:p>
      <w:pPr>
        <w:spacing w:line="283" w:lineRule="auto" w:after="80"/>
        <w:ind w:firstLine="397"/>
        <w:jc w:val="both"/>
        <w:bidi/>
      </w:pPr>
      <w:r>
        <w:t>النظرية الجامعة تحفظ القرآن الحاكم وبيان الرسول الثابت ومراتب الشهادة البشرية.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بـ«الإصدار» و«النظرية»،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بـ«الميثاق»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يستقر منهج مؤسسي قابل للمراجعة.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«النظرية الجامعة وميثاق الباحث في التفسير بالمأثور»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المختبرات والتطبيقات</w:t>
      </w:r>
    </w:p>
    <w:p>
      <w:pPr>
        <w:spacing w:line="283" w:lineRule="auto" w:after="80"/>
        <w:ind w:firstLine="397"/>
        <w:jc w:val="both"/>
        <w:bidi/>
      </w:pPr>
      <w:r>
        <w:t>النظرية الجامعة تحفظ القرآن الحاكم وبيان الرسول الثابت ومراتب الشهادة البشرية.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بـ«النظرية» و«الميثاق»،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بـ«الحدود»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يستقر منهج مؤسسي قابل للمراجعة.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«النظرية الجامعة وميثاق الباحث في التفسير بالمأثور»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القواعد والنتائج</w:t>
      </w:r>
    </w:p>
    <w:p>
      <w:pPr>
        <w:spacing w:line="283" w:lineRule="auto" w:after="80"/>
        <w:ind w:firstLine="397"/>
        <w:jc w:val="both"/>
        <w:bidi/>
      </w:pPr>
      <w:r>
        <w:t>النظرية الجامعة تحفظ القرآن الحاكم وبيان الرسول الثابت ومراتب الشهادة البشرية. ويجب أن يبدأ الباحث بتحديد نوع المأثور قبل السؤال عن حجيته؛ لأن اختلاف الجهة والوظيفة يغير معنى الاحتجاج وعتبة التحقق.</w:t>
      </w:r>
    </w:p>
    <w:p>
      <w:pPr>
        <w:spacing w:line="283" w:lineRule="auto" w:after="80"/>
        <w:ind w:firstLine="397"/>
        <w:jc w:val="both"/>
        <w:bidi/>
      </w:pPr>
      <w:r>
        <w:t>يتصل هذا الباب بـ«الميثاق» و«الحدود»، ولا يجوز أن يُفهم أحدهما مرادفاً للآخر. فجهة النسبة غير وظيفة القول، وقدم القول غير ثبوت نسبته، والثبوت غير صحة دلالته التفسيرية.</w:t>
      </w:r>
    </w:p>
    <w:p>
      <w:pPr>
        <w:spacing w:line="283" w:lineRule="auto" w:after="80"/>
        <w:ind w:firstLine="397"/>
        <w:jc w:val="both"/>
        <w:bidi/>
      </w:pPr>
      <w:r>
        <w:t>تُجمع المدونة المتعلقة بـ«القسط» من كتب الحديث والتفسير والقراءات واللغة والسير، مع حفظ الإسناد واللفظ والمصدر والطبقة والمكان والتاريخ ما أمكن، ولا يُكتفى بنقل المختصرات المتأخرة.</w:t>
      </w:r>
    </w:p>
    <w:p>
      <w:pPr>
        <w:spacing w:line="283" w:lineRule="auto" w:after="80"/>
        <w:ind w:firstLine="397"/>
        <w:jc w:val="both"/>
        <w:bidi/>
      </w:pPr>
      <w:r>
        <w:t>يُحلل المأثور في ثلاث دوائر: ثبوت النسبة، ونوع الوظيفة، واتساق التفسير مع القرآن. ولا تنتقل النتيجة من دائرة إلى أخرى آلياً؛ فقد يصح الإسناد ويكون القول اجتهاداً، وقد يضعف الطريق ويصح المعنى بدليل مستقل.</w:t>
      </w:r>
    </w:p>
    <w:p>
      <w:pPr>
        <w:spacing w:line="283" w:lineRule="auto" w:after="80"/>
        <w:ind w:firstLine="397"/>
        <w:jc w:val="both"/>
        <w:bidi/>
      </w:pPr>
      <w:r>
        <w:t>من مواطن الخلل مساواة القدم بالحجية، ومساواة قول الصحابي ببيان النبي، وحمل المرسل على الاتصال، وتحويل المثال إلى حصر، واستكمال الفراغ القصصي بالإسرائيليات، وانتقاء القول الموافق للمذهب مع إهمال المأثور المنافس.</w:t>
      </w:r>
    </w:p>
    <w:p>
      <w:pPr>
        <w:spacing w:line="283" w:lineRule="auto" w:after="80"/>
        <w:ind w:firstLine="397"/>
        <w:jc w:val="both"/>
        <w:bidi/>
      </w:pPr>
      <w:r>
        <w:t>تُختبر النتيجة بقول مبكر مخالف إن وجد، وبقراءة للسياق لا تعتمد المأثور، وبآية محكمة أو قيد قد يغير الوظيفة. ويُذكر ما إذا كان المأثور ضرورياً لفهم النص أو مؤكداً له أو مجرد شاهد تاريخي.</w:t>
      </w:r>
    </w:p>
    <w:p>
      <w:pPr>
        <w:spacing w:line="283" w:lineRule="auto" w:after="80"/>
        <w:ind w:firstLine="397"/>
        <w:jc w:val="both"/>
        <w:bidi/>
      </w:pPr>
      <w:r>
        <w:t>يستقر منهج مؤسسي قابل للمراجعة. وتُصاغ النتيجة بدرجات: بيان نبوي ثابت، أو تفسير راجح، أو شهادة سياقية، أو اجتهاد مبكر، أو شاهد تاريخي، أو مادة استئناس، أو متوقف فيه، أو مردود في الدعوى المحددة.</w:t>
      </w:r>
    </w:p>
    <w:p>
      <w:pPr>
        <w:spacing w:line="283" w:lineRule="auto" w:after="80"/>
        <w:ind w:firstLine="397"/>
        <w:jc w:val="both"/>
        <w:bidi/>
      </w:pPr>
      <w:r>
        <w:t>في باب «النظرية الجامعة وميثاق الباحث في التفسير بالمأثور» لا يكون الحكم على المأثور بالجملة، بل على الدعوى والطريق والوظيفة. وهذا يمنع أن تتحول مدرسة «المأثور» إلى كتلة واحدة تقابل «الرأي» مقابلةً مضللة.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الجهة</w:t>
            </w:r>
          </w:p>
        </w:tc>
        <w:tc>
          <w:tcPr>
            <w:tcW w:type="dxa" w:w="2635"/>
            <w:vAlign w:val="center"/>
          </w:tcPr>
          <w:p>
            <w:pPr>
              <w:spacing w:line="283" w:lineRule="auto" w:after="0"/>
              <w:jc w:val="right"/>
              <w:bidi/>
            </w:pPr>
            <w:r>
              <w:rPr>
                <w:sz w:val="20"/>
              </w:rPr>
              <w:t>إلى من نُسب القول؟</w:t>
            </w:r>
          </w:p>
        </w:tc>
        <w:tc>
          <w:tcPr>
            <w:tcW w:type="dxa" w:w="2635"/>
            <w:vAlign w:val="center"/>
          </w:tcPr>
          <w:p>
            <w:pPr>
              <w:spacing w:line="283" w:lineRule="auto" w:after="0"/>
              <w:jc w:val="right"/>
              <w:bidi/>
            </w:pPr>
            <w:r>
              <w:rPr>
                <w:sz w:val="20"/>
              </w:rPr>
              <w:t>طبقة النسبة</w:t>
            </w:r>
          </w:p>
        </w:tc>
      </w:tr>
      <w:tr>
        <w:tc>
          <w:tcPr>
            <w:tcW w:type="dxa" w:w="2635"/>
            <w:vAlign w:val="center"/>
          </w:tcPr>
          <w:p>
            <w:pPr>
              <w:spacing w:line="283" w:lineRule="auto" w:after="0"/>
              <w:jc w:val="right"/>
              <w:bidi/>
            </w:pPr>
            <w:r>
              <w:rPr>
                <w:sz w:val="20"/>
              </w:rPr>
              <w:t>الثبوت</w:t>
            </w:r>
          </w:p>
        </w:tc>
        <w:tc>
          <w:tcPr>
            <w:tcW w:type="dxa" w:w="2635"/>
            <w:vAlign w:val="center"/>
          </w:tcPr>
          <w:p>
            <w:pPr>
              <w:spacing w:line="283" w:lineRule="auto" w:after="0"/>
              <w:jc w:val="right"/>
              <w:bidi/>
            </w:pPr>
            <w:r>
              <w:rPr>
                <w:sz w:val="20"/>
              </w:rPr>
              <w:t>هل ثبت الطريق واللفظ؟</w:t>
            </w:r>
          </w:p>
        </w:tc>
        <w:tc>
          <w:tcPr>
            <w:tcW w:type="dxa" w:w="2635"/>
            <w:vAlign w:val="center"/>
          </w:tcPr>
          <w:p>
            <w:pPr>
              <w:spacing w:line="283" w:lineRule="auto" w:after="0"/>
              <w:jc w:val="right"/>
              <w:bidi/>
            </w:pPr>
            <w:r>
              <w:rPr>
                <w:sz w:val="20"/>
              </w:rPr>
              <w:t>درجة الثقة</w:t>
            </w:r>
          </w:p>
        </w:tc>
      </w:tr>
      <w:tr>
        <w:tc>
          <w:tcPr>
            <w:tcW w:type="dxa" w:w="2635"/>
            <w:vAlign w:val="center"/>
          </w:tcPr>
          <w:p>
            <w:pPr>
              <w:spacing w:line="283" w:lineRule="auto" w:after="0"/>
              <w:jc w:val="right"/>
              <w:bidi/>
            </w:pPr>
            <w:r>
              <w:rPr>
                <w:sz w:val="20"/>
              </w:rPr>
              <w:t>الوظيفة</w:t>
            </w:r>
          </w:p>
        </w:tc>
        <w:tc>
          <w:tcPr>
            <w:tcW w:type="dxa" w:w="2635"/>
            <w:vAlign w:val="center"/>
          </w:tcPr>
          <w:p>
            <w:pPr>
              <w:spacing w:line="283" w:lineRule="auto" w:after="0"/>
              <w:jc w:val="right"/>
              <w:bidi/>
            </w:pPr>
            <w:r>
              <w:rPr>
                <w:sz w:val="20"/>
              </w:rPr>
              <w:t>بيان أم اجتهاد أم تطبيق؟</w:t>
            </w:r>
          </w:p>
        </w:tc>
        <w:tc>
          <w:tcPr>
            <w:tcW w:type="dxa" w:w="2635"/>
            <w:vAlign w:val="center"/>
          </w:tcPr>
          <w:p>
            <w:pPr>
              <w:spacing w:line="283" w:lineRule="auto" w:after="0"/>
              <w:jc w:val="right"/>
              <w:bidi/>
            </w:pPr>
            <w:r>
              <w:rPr>
                <w:sz w:val="20"/>
              </w:rPr>
              <w:t>تصنيف وظيفي</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كيف يتصل بالسياق والمحكم؟</w:t>
            </w:r>
          </w:p>
        </w:tc>
        <w:tc>
          <w:tcPr>
            <w:tcW w:type="dxa" w:w="2635"/>
            <w:vAlign w:val="center"/>
          </w:tcPr>
          <w:p>
            <w:pPr>
              <w:spacing w:line="283" w:lineRule="auto" w:after="0"/>
              <w:jc w:val="right"/>
              <w:bidi/>
            </w:pPr>
            <w:r>
              <w:rPr>
                <w:sz w:val="20"/>
              </w:rPr>
              <w:t>أثر تفسيري</w:t>
            </w:r>
          </w:p>
        </w:tc>
      </w:tr>
      <w:tr>
        <w:tc>
          <w:tcPr>
            <w:tcW w:type="dxa" w:w="2635"/>
            <w:vAlign w:val="center"/>
          </w:tcPr>
          <w:p>
            <w:pPr>
              <w:spacing w:line="283" w:lineRule="auto" w:after="0"/>
              <w:jc w:val="right"/>
              <w:bidi/>
            </w:pPr>
            <w:r>
              <w:rPr>
                <w:sz w:val="20"/>
              </w:rPr>
              <w:t>الحجية</w:t>
            </w:r>
          </w:p>
        </w:tc>
        <w:tc>
          <w:tcPr>
            <w:tcW w:type="dxa" w:w="2635"/>
            <w:vAlign w:val="center"/>
          </w:tcPr>
          <w:p>
            <w:pPr>
              <w:spacing w:line="283" w:lineRule="auto" w:after="0"/>
              <w:jc w:val="right"/>
              <w:bidi/>
            </w:pPr>
            <w:r>
              <w:rPr>
                <w:sz w:val="20"/>
              </w:rPr>
              <w:t>ما مقدار الإلزام؟</w:t>
            </w:r>
          </w:p>
        </w:tc>
        <w:tc>
          <w:tcPr>
            <w:tcW w:type="dxa" w:w="2635"/>
            <w:vAlign w:val="center"/>
          </w:tcPr>
          <w:p>
            <w:pPr>
              <w:spacing w:line="283" w:lineRule="auto" w:after="0"/>
              <w:jc w:val="right"/>
              <w:bidi/>
            </w:pPr>
            <w:r>
              <w:rPr>
                <w:sz w:val="20"/>
              </w:rPr>
              <w:t>رتبة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البدائل والاعتراضات؟</w:t>
            </w:r>
          </w:p>
        </w:tc>
        <w:tc>
          <w:tcPr>
            <w:tcW w:type="dxa" w:w="2635"/>
            <w:vAlign w:val="center"/>
          </w:tcPr>
          <w:p>
            <w:pPr>
              <w:spacing w:line="283" w:lineRule="auto" w:after="0"/>
              <w:jc w:val="right"/>
              <w:bidi/>
            </w:pPr>
            <w:r>
              <w:rPr>
                <w:sz w:val="20"/>
              </w:rPr>
              <w:t>إصدار معلل</w:t>
            </w:r>
          </w:p>
        </w:tc>
      </w:tr>
    </w:tbl>
    <w:p/>
    <w:p>
      <w:r>
        <w:br w:type="page"/>
      </w:r>
    </w:p>
    <w:p>
      <w:pPr>
        <w:pStyle w:val="Heading1"/>
        <w:spacing w:line="283" w:lineRule="auto" w:after="120"/>
        <w:jc w:val="right"/>
        <w:keepNext/>
        <w:bidi/>
      </w:pPr>
      <w:r>
        <w:t>القسم التركيبي الأول: سلم مراتب المأثور</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المرتبة</w:t>
            </w:r>
          </w:p>
        </w:tc>
        <w:tc>
          <w:tcPr>
            <w:tcW w:type="dxa" w:w="3952"/>
            <w:vAlign w:val="center"/>
          </w:tcPr>
          <w:p>
            <w:pPr>
              <w:spacing w:line="283" w:lineRule="auto" w:after="0"/>
              <w:jc w:val="center"/>
              <w:bidi/>
            </w:pPr>
            <w:r>
              <w:rPr>
                <w:b/>
                <w:sz w:val="19"/>
              </w:rPr>
              <w:t>التعريف</w:t>
            </w:r>
          </w:p>
        </w:tc>
      </w:tr>
      <w:tr>
        <w:tc>
          <w:tcPr>
            <w:tcW w:type="dxa" w:w="3952"/>
            <w:vAlign w:val="center"/>
          </w:tcPr>
          <w:p>
            <w:pPr>
              <w:spacing w:line="283" w:lineRule="auto" w:after="0"/>
              <w:jc w:val="right"/>
              <w:bidi/>
            </w:pPr>
            <w:r>
              <w:rPr>
                <w:sz w:val="19"/>
              </w:rPr>
              <w:t>بيان نبوي ثابت</w:t>
            </w:r>
          </w:p>
        </w:tc>
        <w:tc>
          <w:tcPr>
            <w:tcW w:type="dxa" w:w="3952"/>
            <w:vAlign w:val="center"/>
          </w:tcPr>
          <w:p>
            <w:pPr>
              <w:spacing w:line="283" w:lineRule="auto" w:after="0"/>
              <w:jc w:val="right"/>
              <w:bidi/>
            </w:pPr>
            <w:r>
              <w:rPr>
                <w:sz w:val="19"/>
              </w:rPr>
              <w:t>قول أو فعل أو تقرير ثبت عن الرسول وله وظيفة تفسيرية أو بيانية واضحة.</w:t>
            </w:r>
          </w:p>
        </w:tc>
      </w:tr>
      <w:tr>
        <w:tc>
          <w:tcPr>
            <w:tcW w:type="dxa" w:w="3952"/>
            <w:vAlign w:val="center"/>
          </w:tcPr>
          <w:p>
            <w:pPr>
              <w:spacing w:line="283" w:lineRule="auto" w:after="0"/>
              <w:jc w:val="right"/>
              <w:bidi/>
            </w:pPr>
            <w:r>
              <w:rPr>
                <w:sz w:val="19"/>
              </w:rPr>
              <w:t>تطبيق نبوي ثابت</w:t>
            </w:r>
          </w:p>
        </w:tc>
        <w:tc>
          <w:tcPr>
            <w:tcW w:type="dxa" w:w="3952"/>
            <w:vAlign w:val="center"/>
          </w:tcPr>
          <w:p>
            <w:pPr>
              <w:spacing w:line="283" w:lineRule="auto" w:after="0"/>
              <w:jc w:val="right"/>
              <w:bidi/>
            </w:pPr>
            <w:r>
              <w:rPr>
                <w:sz w:val="19"/>
              </w:rPr>
              <w:t>تنزيل عملي ثابت يكشف المصداق أو الحكم من غير أن يحصر كل الدلالة.</w:t>
            </w:r>
          </w:p>
        </w:tc>
      </w:tr>
      <w:tr>
        <w:tc>
          <w:tcPr>
            <w:tcW w:type="dxa" w:w="3952"/>
            <w:vAlign w:val="center"/>
          </w:tcPr>
          <w:p>
            <w:pPr>
              <w:spacing w:line="283" w:lineRule="auto" w:after="0"/>
              <w:jc w:val="right"/>
              <w:bidi/>
            </w:pPr>
            <w:r>
              <w:rPr>
                <w:sz w:val="19"/>
              </w:rPr>
              <w:t>شهادة صحابي على النزول</w:t>
            </w:r>
          </w:p>
        </w:tc>
        <w:tc>
          <w:tcPr>
            <w:tcW w:type="dxa" w:w="3952"/>
            <w:vAlign w:val="center"/>
          </w:tcPr>
          <w:p>
            <w:pPr>
              <w:spacing w:line="283" w:lineRule="auto" w:after="0"/>
              <w:jc w:val="right"/>
              <w:bidi/>
            </w:pPr>
            <w:r>
              <w:rPr>
                <w:sz w:val="19"/>
              </w:rPr>
              <w:t>خبر ممن شهد الواقعة مع ثبوت النسبة وتحديد أنه شهادة لا اجتهاد.</w:t>
            </w:r>
          </w:p>
        </w:tc>
      </w:tr>
      <w:tr>
        <w:tc>
          <w:tcPr>
            <w:tcW w:type="dxa" w:w="3952"/>
            <w:vAlign w:val="center"/>
          </w:tcPr>
          <w:p>
            <w:pPr>
              <w:spacing w:line="283" w:lineRule="auto" w:after="0"/>
              <w:jc w:val="right"/>
              <w:bidi/>
            </w:pPr>
            <w:r>
              <w:rPr>
                <w:sz w:val="19"/>
              </w:rPr>
              <w:t>تفسير صحابي لغوي أو سياقي</w:t>
            </w:r>
          </w:p>
        </w:tc>
        <w:tc>
          <w:tcPr>
            <w:tcW w:type="dxa" w:w="3952"/>
            <w:vAlign w:val="center"/>
          </w:tcPr>
          <w:p>
            <w:pPr>
              <w:spacing w:line="283" w:lineRule="auto" w:after="0"/>
              <w:jc w:val="right"/>
              <w:bidi/>
            </w:pPr>
            <w:r>
              <w:rPr>
                <w:sz w:val="19"/>
              </w:rPr>
              <w:t>قول مبكر ذو قيمة مرتفعة مع بقاء احتمال الاجتهاد.</w:t>
            </w:r>
          </w:p>
        </w:tc>
      </w:tr>
      <w:tr>
        <w:tc>
          <w:tcPr>
            <w:tcW w:type="dxa" w:w="3952"/>
            <w:vAlign w:val="center"/>
          </w:tcPr>
          <w:p>
            <w:pPr>
              <w:spacing w:line="283" w:lineRule="auto" w:after="0"/>
              <w:jc w:val="right"/>
              <w:bidi/>
            </w:pPr>
            <w:r>
              <w:rPr>
                <w:sz w:val="19"/>
              </w:rPr>
              <w:t>اجتهاد صحابي</w:t>
            </w:r>
          </w:p>
        </w:tc>
        <w:tc>
          <w:tcPr>
            <w:tcW w:type="dxa" w:w="3952"/>
            <w:vAlign w:val="center"/>
          </w:tcPr>
          <w:p>
            <w:pPr>
              <w:spacing w:line="283" w:lineRule="auto" w:after="0"/>
              <w:jc w:val="right"/>
              <w:bidi/>
            </w:pPr>
            <w:r>
              <w:rPr>
                <w:sz w:val="19"/>
              </w:rPr>
              <w:t>رأي تفسيري يوزن بالدليل ولا يساوي المرفوع.</w:t>
            </w:r>
          </w:p>
        </w:tc>
      </w:tr>
      <w:tr>
        <w:tc>
          <w:tcPr>
            <w:tcW w:type="dxa" w:w="3952"/>
            <w:vAlign w:val="center"/>
          </w:tcPr>
          <w:p>
            <w:pPr>
              <w:spacing w:line="283" w:lineRule="auto" w:after="0"/>
              <w:jc w:val="right"/>
              <w:bidi/>
            </w:pPr>
            <w:r>
              <w:rPr>
                <w:sz w:val="19"/>
              </w:rPr>
              <w:t>تفسير تابعي</w:t>
            </w:r>
          </w:p>
        </w:tc>
        <w:tc>
          <w:tcPr>
            <w:tcW w:type="dxa" w:w="3952"/>
            <w:vAlign w:val="center"/>
          </w:tcPr>
          <w:p>
            <w:pPr>
              <w:spacing w:line="283" w:lineRule="auto" w:after="0"/>
              <w:jc w:val="right"/>
              <w:bidi/>
            </w:pPr>
            <w:r>
              <w:rPr>
                <w:sz w:val="19"/>
              </w:rPr>
              <w:t>قول مدرسي مبكر يفيد في تاريخ التلقي واللسان والسياق.</w:t>
            </w:r>
          </w:p>
        </w:tc>
      </w:tr>
      <w:tr>
        <w:tc>
          <w:tcPr>
            <w:tcW w:type="dxa" w:w="3952"/>
            <w:vAlign w:val="center"/>
          </w:tcPr>
          <w:p>
            <w:pPr>
              <w:spacing w:line="283" w:lineRule="auto" w:after="0"/>
              <w:jc w:val="right"/>
              <w:bidi/>
            </w:pPr>
            <w:r>
              <w:rPr>
                <w:sz w:val="19"/>
              </w:rPr>
              <w:t>تفسير تابع تابعي ومن بعده</w:t>
            </w:r>
          </w:p>
        </w:tc>
        <w:tc>
          <w:tcPr>
            <w:tcW w:type="dxa" w:w="3952"/>
            <w:vAlign w:val="center"/>
          </w:tcPr>
          <w:p>
            <w:pPr>
              <w:spacing w:line="283" w:lineRule="auto" w:after="0"/>
              <w:jc w:val="right"/>
              <w:bidi/>
            </w:pPr>
            <w:r>
              <w:rPr>
                <w:sz w:val="19"/>
              </w:rPr>
              <w:t>مادة تاريخية تزداد فيها الحاجة إلى الفصل بين النقل والاجتهاد.</w:t>
            </w:r>
          </w:p>
        </w:tc>
      </w:tr>
      <w:tr>
        <w:tc>
          <w:tcPr>
            <w:tcW w:type="dxa" w:w="3952"/>
            <w:vAlign w:val="center"/>
          </w:tcPr>
          <w:p>
            <w:pPr>
              <w:spacing w:line="283" w:lineRule="auto" w:after="0"/>
              <w:jc w:val="right"/>
              <w:bidi/>
            </w:pPr>
            <w:r>
              <w:rPr>
                <w:sz w:val="19"/>
              </w:rPr>
              <w:t>إسرائيلية معلومة المصدر</w:t>
            </w:r>
          </w:p>
        </w:tc>
        <w:tc>
          <w:tcPr>
            <w:tcW w:type="dxa" w:w="3952"/>
            <w:vAlign w:val="center"/>
          </w:tcPr>
          <w:p>
            <w:pPr>
              <w:spacing w:line="283" w:lineRule="auto" w:after="0"/>
              <w:jc w:val="right"/>
              <w:bidi/>
            </w:pPr>
            <w:r>
              <w:rPr>
                <w:sz w:val="19"/>
              </w:rPr>
              <w:t>مادة تاريخية خارجية تُقيد بوظيفتها ولا تُنشئ عقيدة أو حكماً.</w:t>
            </w:r>
          </w:p>
        </w:tc>
      </w:tr>
      <w:tr>
        <w:tc>
          <w:tcPr>
            <w:tcW w:type="dxa" w:w="3952"/>
            <w:vAlign w:val="center"/>
          </w:tcPr>
          <w:p>
            <w:pPr>
              <w:spacing w:line="283" w:lineRule="auto" w:after="0"/>
              <w:jc w:val="right"/>
              <w:bidi/>
            </w:pPr>
            <w:r>
              <w:rPr>
                <w:sz w:val="19"/>
              </w:rPr>
              <w:t>إسرائيلية مجهولة المصدر</w:t>
            </w:r>
          </w:p>
        </w:tc>
        <w:tc>
          <w:tcPr>
            <w:tcW w:type="dxa" w:w="3952"/>
            <w:vAlign w:val="center"/>
          </w:tcPr>
          <w:p>
            <w:pPr>
              <w:spacing w:line="283" w:lineRule="auto" w:after="0"/>
              <w:jc w:val="right"/>
              <w:bidi/>
            </w:pPr>
            <w:r>
              <w:rPr>
                <w:sz w:val="19"/>
              </w:rPr>
              <w:t>مادة ضعيفة الوظيفة تحتاج إلى التوقف أو الاستبعاد.</w:t>
            </w:r>
          </w:p>
        </w:tc>
      </w:tr>
      <w:tr>
        <w:tc>
          <w:tcPr>
            <w:tcW w:type="dxa" w:w="3952"/>
            <w:vAlign w:val="center"/>
          </w:tcPr>
          <w:p>
            <w:pPr>
              <w:spacing w:line="283" w:lineRule="auto" w:after="0"/>
              <w:jc w:val="right"/>
              <w:bidi/>
            </w:pPr>
            <w:r>
              <w:rPr>
                <w:sz w:val="19"/>
              </w:rPr>
              <w:t>رواية تفسيرية متأخرة</w:t>
            </w:r>
          </w:p>
        </w:tc>
        <w:tc>
          <w:tcPr>
            <w:tcW w:type="dxa" w:w="3952"/>
            <w:vAlign w:val="center"/>
          </w:tcPr>
          <w:p>
            <w:pPr>
              <w:spacing w:line="283" w:lineRule="auto" w:after="0"/>
              <w:jc w:val="right"/>
              <w:bidi/>
            </w:pPr>
            <w:r>
              <w:rPr>
                <w:sz w:val="19"/>
              </w:rPr>
              <w:t>تُفحص كسائر الأخبار ولا يمنحها وجودها في كتاب تفسير رتبة إضافية.</w:t>
            </w:r>
          </w:p>
        </w:tc>
      </w:tr>
    </w:tbl>
    <w:p/>
    <w:p>
      <w:pPr>
        <w:spacing w:line="283" w:lineRule="auto" w:after="80"/>
        <w:ind w:firstLine="397"/>
        <w:jc w:val="both"/>
        <w:bidi/>
      </w:pPr>
      <w:r>
        <w:t>بيان نبوي ثابت: قول أو فعل أو تقرير ثبت عن الرسول وله وظيفة تفسيرية أو بيانية واضحة. ويجب أن يحمل التقرير هذه المرتبة مع سببها، ولا يكتفي بلفظ عام مثل «ورد في التفسير بالمأثور».</w:t>
      </w:r>
    </w:p>
    <w:p>
      <w:pPr>
        <w:spacing w:line="283" w:lineRule="auto" w:after="80"/>
        <w:ind w:firstLine="397"/>
        <w:jc w:val="both"/>
        <w:bidi/>
      </w:pPr>
      <w:r>
        <w:t>تطبيق نبوي ثابت: تنزيل عملي ثابت يكشف المصداق أو الحكم من غير أن يحصر كل الدلالة. ويجب أن يحمل التقرير هذه المرتبة مع سببها، ولا يكتفي بلفظ عام مثل «ورد في التفسير بالمأثور».</w:t>
      </w:r>
    </w:p>
    <w:p>
      <w:pPr>
        <w:spacing w:line="283" w:lineRule="auto" w:after="80"/>
        <w:ind w:firstLine="397"/>
        <w:jc w:val="both"/>
        <w:bidi/>
      </w:pPr>
      <w:r>
        <w:t>شهادة صحابي على النزول: خبر ممن شهد الواقعة مع ثبوت النسبة وتحديد أنه شهادة لا اجتهاد. ويجب أن يحمل التقرير هذه المرتبة مع سببها، ولا يكتفي بلفظ عام مثل «ورد في التفسير بالمأثور».</w:t>
      </w:r>
    </w:p>
    <w:p>
      <w:pPr>
        <w:spacing w:line="283" w:lineRule="auto" w:after="80"/>
        <w:ind w:firstLine="397"/>
        <w:jc w:val="both"/>
        <w:bidi/>
      </w:pPr>
      <w:r>
        <w:t>تفسير صحابي لغوي أو سياقي: قول مبكر ذو قيمة مرتفعة مع بقاء احتمال الاجتهاد. ويجب أن يحمل التقرير هذه المرتبة مع سببها، ولا يكتفي بلفظ عام مثل «ورد في التفسير بالمأثور».</w:t>
      </w:r>
    </w:p>
    <w:p>
      <w:pPr>
        <w:spacing w:line="283" w:lineRule="auto" w:after="80"/>
        <w:ind w:firstLine="397"/>
        <w:jc w:val="both"/>
        <w:bidi/>
      </w:pPr>
      <w:r>
        <w:t>اجتهاد صحابي: رأي تفسيري يوزن بالدليل ولا يساوي المرفوع. ويجب أن يحمل التقرير هذه المرتبة مع سببها، ولا يكتفي بلفظ عام مثل «ورد في التفسير بالمأثور».</w:t>
      </w:r>
    </w:p>
    <w:p>
      <w:pPr>
        <w:spacing w:line="283" w:lineRule="auto" w:after="80"/>
        <w:ind w:firstLine="397"/>
        <w:jc w:val="both"/>
        <w:bidi/>
      </w:pPr>
      <w:r>
        <w:t>تفسير تابعي: قول مدرسي مبكر يفيد في تاريخ التلقي واللسان والسياق. ويجب أن يحمل التقرير هذه المرتبة مع سببها، ولا يكتفي بلفظ عام مثل «ورد في التفسير بالمأثور».</w:t>
      </w:r>
    </w:p>
    <w:p>
      <w:pPr>
        <w:spacing w:line="283" w:lineRule="auto" w:after="80"/>
        <w:ind w:firstLine="397"/>
        <w:jc w:val="both"/>
        <w:bidi/>
      </w:pPr>
      <w:r>
        <w:t>تفسير تابع تابعي ومن بعده: مادة تاريخية تزداد فيها الحاجة إلى الفصل بين النقل والاجتهاد. ويجب أن يحمل التقرير هذه المرتبة مع سببها، ولا يكتفي بلفظ عام مثل «ورد في التفسير بالمأثور».</w:t>
      </w:r>
    </w:p>
    <w:p>
      <w:pPr>
        <w:spacing w:line="283" w:lineRule="auto" w:after="80"/>
        <w:ind w:firstLine="397"/>
        <w:jc w:val="both"/>
        <w:bidi/>
      </w:pPr>
      <w:r>
        <w:t>إسرائيلية معلومة المصدر: مادة تاريخية خارجية تُقيد بوظيفتها ولا تُنشئ عقيدة أو حكماً. ويجب أن يحمل التقرير هذه المرتبة مع سببها، ولا يكتفي بلفظ عام مثل «ورد في التفسير بالمأثور».</w:t>
      </w:r>
    </w:p>
    <w:p>
      <w:pPr>
        <w:spacing w:line="283" w:lineRule="auto" w:after="80"/>
        <w:ind w:firstLine="397"/>
        <w:jc w:val="both"/>
        <w:bidi/>
      </w:pPr>
      <w:r>
        <w:t>إسرائيلية مجهولة المصدر: مادة ضعيفة الوظيفة تحتاج إلى التوقف أو الاستبعاد. ويجب أن يحمل التقرير هذه المرتبة مع سببها، ولا يكتفي بلفظ عام مثل «ورد في التفسير بالمأثور».</w:t>
      </w:r>
    </w:p>
    <w:p>
      <w:pPr>
        <w:spacing w:line="283" w:lineRule="auto" w:after="80"/>
        <w:ind w:firstLine="397"/>
        <w:jc w:val="both"/>
        <w:bidi/>
      </w:pPr>
      <w:r>
        <w:t>رواية تفسيرية متأخرة: تُفحص كسائر الأخبار ولا يمنحها وجودها في كتاب تفسير رتبة إضافية. ويجب أن يحمل التقرير هذه المرتبة مع سببها، ولا يكتفي بلفظ عام مثل «ورد في التفسير بالمأثور».</w:t>
      </w:r>
    </w:p>
    <w:p>
      <w:r>
        <w:br w:type="page"/>
      </w:r>
    </w:p>
    <w:p>
      <w:pPr>
        <w:pStyle w:val="Heading1"/>
        <w:spacing w:line="283" w:lineRule="auto" w:after="120"/>
        <w:jc w:val="right"/>
        <w:keepNext/>
        <w:bidi/>
      </w:pPr>
      <w:r>
        <w:t>القسم التركيبي الثاني: الأربعون قاعدة في التفسير بالمأثور</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القرآن حاكم على المأثور لا العكس.</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بيان الرسول الثابت له مرتبة تميزه عن أقوال غيره.</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صحة الإسناد لا تساوي صحة التفسير.</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قدم القول قرينة لا عصمة.</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جهة النسبة تختلف عن الوظيفة.</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قول الصحابي لا يُرفع حكماً بلا قرينة.</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شهادة الصحابي على النزول تختلف عن اجتهاده.</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قول التابعي يفيد في تاريخ التلقي ولا يلزم بذاته.</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المراسيل التفسيرية تحتاج إلى شواهد واستقلال طرق.</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عبارة «نزلت في» لا تعني السبب دائماً.</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المثال لا يساوي الحصر.</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المصداق لا يساوي تعريف المفهوم.</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سبب النزول لا يحصر العموم بذاته.</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القراءة الثابتة جزء من البيان لا قول مفسر.</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الوقف المنقول قرينة تفسيرية لا نصاً إضافياً.</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اللسان المبكر مهم لكنه لا ينسخ السياق القرآني.</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الإسرائيليات لا تملأ الفراغ القرآني تلقائياً.</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موافقة الإسرائيلية للمألوف لا تثبتها.</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مخالفة الإسرائيلية لمحكم القرآن ترد دعواها.</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السكوت القرآني عن التفصيل ليس نقصاً يجب ملؤه.</w:t>
            </w:r>
          </w:p>
        </w:tc>
      </w:tr>
      <w:t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اختلاف الصحابة يمنع دعوى الإجماع التفسيري.</w:t>
            </w:r>
          </w:p>
        </w:tc>
      </w:tr>
      <w:t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اختلاف التابعين يكشف تعدد المدارس.</w:t>
            </w:r>
          </w:p>
        </w:tc>
      </w:tr>
      <w:t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شهرة القول في كتب التفسير لا تثبت نسبته.</w:t>
            </w:r>
          </w:p>
        </w:tc>
      </w:tr>
      <w:t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تكرار الرواية في المصادر لا يثبت استقلالها.</w:t>
            </w:r>
          </w:p>
        </w:tc>
      </w:tr>
      <w:t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ينبغي تتبع الأصل المشترك للروايات.</w:t>
            </w:r>
          </w:p>
        </w:tc>
      </w:tr>
      <w:t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ترجمة الباب لا تساوي المأثور المنقول.</w:t>
            </w:r>
          </w:p>
        </w:tc>
      </w:tr>
      <w:t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اختيار المصنف لا يعني عصمة القول المختار.</w:t>
            </w:r>
          </w:p>
        </w:tc>
      </w:tr>
      <w:t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المأثور يُقرأ في سياق الآية والسورة.</w:t>
            </w:r>
          </w:p>
        </w:tc>
      </w:tr>
      <w:t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المحكم يرد إليه المأثور المحتمل.</w:t>
            </w:r>
          </w:p>
        </w:tc>
      </w:tr>
      <w:t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المأثور المخالف للسان المحكم يحتاج إلى إعادة فحص.</w:t>
            </w:r>
          </w:p>
        </w:tc>
      </w:tr>
      <w:t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يجوز أن يصح معنى المأثور بدليل مستقل مع ضعف نسبته.</w:t>
            </w:r>
          </w:p>
        </w:tc>
      </w:tr>
      <w:t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لا تنسب العبارة إلى السلف إذا لم يثبت طريقها.</w:t>
            </w:r>
          </w:p>
        </w:tc>
      </w:tr>
      <w:t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العقيدة تحتاج إلى عتبة أعلى من الاستئناس بالمأثور.</w:t>
            </w:r>
          </w:p>
        </w:tc>
      </w:tr>
      <w:t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الأحكام عالية الأثر تحتاج إلى ثبوت ودلالة مرتفعين.</w:t>
            </w:r>
          </w:p>
        </w:tc>
      </w:tr>
      <w:t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التوقف خير من جمع الأقوال المتناقضة بلا ترجيح.</w:t>
            </w:r>
          </w:p>
        </w:tc>
      </w:tr>
      <w:t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يجب ذكر القول المبكر المنافس.</w:t>
            </w:r>
          </w:p>
        </w:tc>
      </w:tr>
      <w:t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يجب فصل البيانات من التفسير.</w:t>
            </w:r>
          </w:p>
        </w:tc>
      </w:tr>
      <w:t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الذكاء الاصطناعي يجمع المأثور ولا يقرر حجيته.</w:t>
            </w:r>
          </w:p>
        </w:tc>
      </w:tr>
      <w:t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كل حكم يحمل درجة ثقة وإصداراً.</w:t>
            </w:r>
          </w:p>
        </w:tc>
      </w:tr>
      <w:t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غاية التفسير بالمأثور حفظ البيان الصحيح لا تقديس النقل البشري.</w:t>
            </w:r>
          </w:p>
        </w:tc>
      </w:tr>
    </w:tbl>
    <w:p/>
    <w:p>
      <w:pPr>
        <w:spacing w:line="283" w:lineRule="auto" w:after="80"/>
        <w:ind w:firstLine="397"/>
        <w:jc w:val="both"/>
        <w:bidi/>
      </w:pPr>
      <w:r>
        <w:t>القاعدة 1: القرآن حاكم على المأثور لا العكس.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2: بيان الرسول الثابت له مرتبة تميزه عن أقوال غيره.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3: صحة الإسناد لا تساوي صحة التفسير.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4: قدم القول قرينة لا عصمة.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5: جهة النسبة تختلف عن الوظيفة.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6: قول الصحابي لا يُرفع حكماً بلا قرينة.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7: شهادة الصحابي على النزول تختلف عن اجتهاده.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8: قول التابعي يفيد في تاريخ التلقي ولا يلزم بذاته.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9: المراسيل التفسيرية تحتاج إلى شواهد واستقلال طرق.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10: عبارة «نزلت في» لا تعني السبب دائماً.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11: المثال لا يساوي الحصر.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12: المصداق لا يساوي تعريف المفهوم.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13: سبب النزول لا يحصر العموم بذاته.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14: القراءة الثابتة جزء من البيان لا قول مفسر.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15: الوقف المنقول قرينة تفسيرية لا نصاً إضافياً.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16: اللسان المبكر مهم لكنه لا ينسخ السياق القرآني.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17: الإسرائيليات لا تملأ الفراغ القرآني تلقائياً.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18: موافقة الإسرائيلية للمألوف لا تثبتها.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19: مخالفة الإسرائيلية لمحكم القرآن ترد دعواها.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20: السكوت القرآني عن التفصيل ليس نقصاً يجب ملؤه.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21: اختلاف الصحابة يمنع دعوى الإجماع التفسيري.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22: اختلاف التابعين يكشف تعدد المدارس.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23: شهرة القول في كتب التفسير لا تثبت نسبته.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24: تكرار الرواية في المصادر لا يثبت استقلالها.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25: ينبغي تتبع الأصل المشترك للروايات.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26: ترجمة الباب لا تساوي المأثور المنقول.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27: اختيار المصنف لا يعني عصمة القول المختار.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28: المأثور يُقرأ في سياق الآية والسورة.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29: المحكم يرد إليه المأثور المحتمل.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30: المأثور المخالف للسان المحكم يحتاج إلى إعادة فحص.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31: يجوز أن يصح معنى المأثور بدليل مستقل مع ضعف نسبته.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32: لا تنسب العبارة إلى السلف إذا لم يثبت طريقها.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33: العقيدة تحتاج إلى عتبة أعلى من الاستئناس بالمأثور.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34: الأحكام عالية الأثر تحتاج إلى ثبوت ودلالة مرتفعين.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35: التوقف خير من جمع الأقوال المتناقضة بلا ترجيح.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36: يجب ذكر القول المبكر المنافس.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37: يجب فصل البيانات من التفسير.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38: الذكاء الاصطناعي يجمع المأثور ولا يقرر حجيته.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39: كل حكم يحمل درجة ثقة وإصداراً. وتُطبق داخل المصفوفة مع بيان مجالها والاستثناءات والقرائن المنافسة، ولا تُستعمل منفردةً لحسم قضية تفسيرية مركبة.</w:t>
      </w:r>
    </w:p>
    <w:p>
      <w:pPr>
        <w:spacing w:line="283" w:lineRule="auto" w:after="80"/>
        <w:ind w:firstLine="397"/>
        <w:jc w:val="both"/>
        <w:bidi/>
      </w:pPr>
      <w:r>
        <w:t>القاعدة 40: غاية التفسير بالمأثور حفظ البيان الصحيح لا تقديس النقل البشري. وتُطبق داخل المصفوفة مع بيان مجالها والاستثناءات والقرائن المنافسة، ولا تُستعمل منفردةً لحسم قضية تفسيرية مركبة.</w:t>
      </w:r>
    </w:p>
    <w:p>
      <w:r>
        <w:br w:type="page"/>
      </w:r>
    </w:p>
    <w:p>
      <w:pPr>
        <w:pStyle w:val="Heading1"/>
        <w:spacing w:line="283" w:lineRule="auto" w:after="120"/>
        <w:jc w:val="right"/>
        <w:keepNext/>
        <w:bidi/>
      </w:pPr>
      <w:r>
        <w:t>القسم التركيبي الثالث: الأربعون مغالطة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المغالطة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كل مأثور صحيح</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كل قديم حجة</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كل قول صحابي مرفوع</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كل «نزلت في» سبب نزول</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كل قول تابعي منقول عن الصحابي</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كل رواية بلا إسناد مشهورة مقبولة</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كثرة الطرق تعني الاستقلال</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وجود الرواية في الطبري تصحيح لها</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إيراد المصنف يعني تبنيه</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كل تفسير لغوي مبكر حاكم</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كل اختلاف تنوع</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كل إجماع منقول إجماع حقيقي</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الإسرائيلية المباحة صحيحة</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التفاصيل القصصية تشرح ما سكت عنه القرآن</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كل ما وافق القرآن مأثور صحيح</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كل ما لم يخالف القرآن صالح للتفسير</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المأثور يغني عن السياق</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المأثور يغني عن اللغة</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المأثور يغني عن المحكم</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المأثور يغني عن جمع الآيات</w:t>
            </w:r>
          </w:p>
        </w:tc>
      </w:tr>
      <w:t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رفض رواية يعني رفض السنة</w:t>
            </w:r>
          </w:p>
        </w:tc>
      </w:tr>
      <w:t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نقد الصحابي طعن في الصحابة</w:t>
            </w:r>
          </w:p>
        </w:tc>
      </w:tr>
      <w:t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اختلاف السلف يمنع الترجيح</w:t>
            </w:r>
          </w:p>
        </w:tc>
      </w:tr>
      <w:t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التفسير بالرأي مقابل المأثور دائماً</w:t>
            </w:r>
          </w:p>
        </w:tc>
      </w:tr>
      <w:t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كل رأي تابعي مذموم</w:t>
            </w:r>
          </w:p>
        </w:tc>
      </w:tr>
      <w:t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المذهب المبكر هو معنى الآية</w:t>
            </w:r>
          </w:p>
        </w:tc>
      </w:tr>
      <w:t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الإجماع التفسيري يمنع مراجعة الدليل</w:t>
            </w:r>
          </w:p>
        </w:tc>
      </w:tr>
      <w:t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سبب النزول يخصص الآية دائماً</w:t>
            </w:r>
          </w:p>
        </w:tc>
      </w:tr>
      <w:t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التفسير بالمثال تعريف حصري</w:t>
            </w:r>
          </w:p>
        </w:tc>
      </w:tr>
      <w:t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الموقوف لا قيمة له</w:t>
            </w:r>
          </w:p>
        </w:tc>
      </w:tr>
      <w:t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المرسل لا قيمة له مطلقاً</w:t>
            </w:r>
          </w:p>
        </w:tc>
      </w:tr>
      <w:t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الإسرائيلية كلها مردودة</w:t>
            </w:r>
          </w:p>
        </w:tc>
      </w:tr>
      <w:t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الإسرائيلية كلها جائزة</w:t>
            </w:r>
          </w:p>
        </w:tc>
      </w:tr>
      <w:t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الخبر الصحيح ينشئ عقيدة تلقائياً</w:t>
            </w:r>
          </w:p>
        </w:tc>
      </w:tr>
      <w:t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المأثور الشائع أقوى من القرآن المحكم</w:t>
            </w:r>
          </w:p>
        </w:tc>
      </w:tr>
      <w:t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الجمع بين الأقوال أفضل دائماً</w:t>
            </w:r>
          </w:p>
        </w:tc>
      </w:tr>
      <w:t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الترجيح المذهبي مقبول إذا كان قديماً</w:t>
            </w:r>
          </w:p>
        </w:tc>
      </w:tr>
      <w:t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الذكاء الاصطناعي يحسم نسبة القول</w:t>
            </w:r>
          </w:p>
        </w:tc>
      </w:tr>
      <w:t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قاعدة البيانات الكاملة تساوي التفسير الصحيح</w:t>
            </w:r>
          </w:p>
        </w:tc>
      </w:tr>
      <w:t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عصمة مدرسة التفسير بالمأثور</w:t>
            </w:r>
          </w:p>
        </w:tc>
      </w:tr>
    </w:tbl>
    <w:p/>
    <w:p>
      <w:pPr>
        <w:spacing w:line="283" w:lineRule="auto" w:after="80"/>
        <w:ind w:firstLine="397"/>
        <w:jc w:val="both"/>
        <w:bidi/>
      </w:pPr>
      <w:r>
        <w:t>المغالطة 1: كل مأثور صحيح.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2: كل قديم حجة.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3: كل قول صحابي مرفوع.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4: كل «نزلت في» سبب نزول.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5: كل قول تابعي منقول عن الصحابي.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6: كل رواية بلا إسناد مشهورة مقبولة.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7: كثرة الطرق تعني الاستقلال.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8: وجود الرواية في الطبري تصحيح لها.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9: إيراد المصنف يعني تبنيه.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10: كل تفسير لغوي مبكر حاكم.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11: كل اختلاف تنوع.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12: كل إجماع منقول إجماع حقيقي.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13: الإسرائيلية المباحة صحيحة.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14: التفاصيل القصصية تشرح ما سكت عنه القرآن.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15: كل ما وافق القرآن مأثور صحيح.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16: كل ما لم يخالف القرآن صالح للتفسير.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17: المأثور يغني عن السياق.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18: المأثور يغني عن اللغة.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19: المأثور يغني عن المحكم.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20: المأثور يغني عن جمع الآيات.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21: رفض رواية يعني رفض السنة.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22: نقد الصحابي طعن في الصحابة.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23: اختلاف السلف يمنع الترجيح.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24: التفسير بالرأي مقابل المأثور دائماً.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25: كل رأي تابعي مذموم.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26: المذهب المبكر هو معنى الآية.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27: الإجماع التفسيري يمنع مراجعة الدليل.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28: سبب النزول يخصص الآية دائماً.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29: التفسير بالمثال تعريف حصري.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30: الموقوف لا قيمة له.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31: المرسل لا قيمة له مطلقاً.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32: الإسرائيلية كلها مردودة.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33: الإسرائيلية كلها جائزة.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34: الخبر الصحيح ينشئ عقيدة تلقائياً.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35: المأثور الشائع أقوى من القرآن المحكم.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36: الجمع بين الأقوال أفضل دائماً.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37: الترجيح المذهبي مقبول إذا كان قديماً.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38: الذكاء الاصطناعي يحسم نسبة القول.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39: قاعدة البيانات الكاملة تساوي التفسير الصحيح. يعالجها المنهج بإعادة المأثور إلى نوعه وطريقه ووظيفته وسياقه، وبتمييز الشهادة من الاجتهاد والثبوت من الحجية، وبفتح النتيجة للقراءة المنافسة.</w:t>
      </w:r>
    </w:p>
    <w:p>
      <w:pPr>
        <w:spacing w:line="283" w:lineRule="auto" w:after="80"/>
        <w:ind w:firstLine="397"/>
        <w:jc w:val="both"/>
        <w:bidi/>
      </w:pPr>
      <w:r>
        <w:t>المغالطة 40: عصمة مدرسة التفسير بالمأثور. يعالجها المنهج بإعادة المأثور إلى نوعه وطريقه ووظيفته وسياقه، وبتمييز الشهادة من الاجتهاد والثبوت من الحجية، وبفتح النتيجة للقراءة المنافسة.</w:t>
      </w:r>
    </w:p>
    <w:p>
      <w:r>
        <w:br w:type="page"/>
      </w:r>
    </w:p>
    <w:p>
      <w:pPr>
        <w:pStyle w:val="Heading1"/>
        <w:spacing w:line="283" w:lineRule="auto" w:after="120"/>
        <w:jc w:val="right"/>
        <w:keepNext/>
        <w:bidi/>
      </w:pPr>
      <w:r>
        <w:t>القسم التركيبي الرابع: ملف الإسرائيليات</w:t>
      </w:r>
    </w:p>
    <w:p>
      <w:pPr>
        <w:spacing w:line="283" w:lineRule="auto" w:after="80"/>
        <w:ind w:firstLine="397"/>
        <w:jc w:val="both"/>
        <w:bidi/>
      </w:pPr>
      <w:r>
        <w:t>لا تبدأ معالجة الإسرائيليات بالسؤال: هل الرواية توافق القرآن أم لا؟ بل بالسؤال عن أصلها ومسارها ووظيفتها. فقد تدخل الرواية عبر راوٍ معروف بالأخذ عن أهل الكتاب، أو عبر قصة بلا سند، أو عبر تفسير متأخر أعاد بناء تفصيل لم يذكره القرآن. ويجب توثيق هذا التاريخ قبل الحكم على قيمتها.</w:t>
      </w:r>
    </w:p>
    <w:p>
      <w:pPr>
        <w:spacing w:line="283" w:lineRule="auto" w:after="80"/>
        <w:ind w:firstLine="397"/>
        <w:jc w:val="both"/>
        <w:bidi/>
      </w:pPr>
      <w:r>
        <w:t>يميز المنهج بين الإسرائيلية التي تتعلق بتفصيل تاريخي غير مؤثر، وبين ما يعيد تشكيل صورة نبي أو حكم عقدي أو تصور عن الله والملائكة أو تشريع. وكلما ارتفع أثر الدعوى ارتفعت عتبة الإثبات، ولا يكفي السكوت القرآني عن التفصيل لقبوله.</w:t>
      </w:r>
    </w:p>
    <w:p>
      <w:pPr>
        <w:spacing w:line="283" w:lineRule="auto" w:after="80"/>
        <w:ind w:firstLine="397"/>
        <w:jc w:val="both"/>
        <w:bidi/>
      </w:pPr>
      <w:r>
        <w:t>القصص القرآني لا يحتاج إلى ملء جميع الفراغات؛ فالسكوت قد يكون جزءاً من البيان لأنه يوجه الانتباه إلى موضع العبرة. وإضافة اسم أو عدد أو موضع أو حوار قد تنقل مركز القصة من مقصده القرآني إلى فضول تاريخي أو إلى تصور مصدره خارج القرآن.</w:t>
      </w:r>
    </w:p>
    <w:p>
      <w:pPr>
        <w:spacing w:line="283" w:lineRule="auto" w:after="80"/>
        <w:ind w:firstLine="397"/>
        <w:jc w:val="both"/>
        <w:bidi/>
      </w:pPr>
      <w:r>
        <w:t>لا تُستخدم عبارة «لا نصدق ولا نكذب» لتجميد النقد؛ فهي لا تمنع دراسة المصدر والتاريخ والمحتوى والآثار. وقد تكون المادة غير قابلة للتصديق الديني لكنها مفيدة في تاريخ التلقي أو المقارنة الأدبية، بشرط التصريح بوظيفتها.</w:t>
      </w:r>
    </w:p>
    <w:p>
      <w:pPr>
        <w:spacing w:line="283" w:lineRule="auto" w:after="80"/>
        <w:ind w:firstLine="397"/>
        <w:jc w:val="both"/>
        <w:bidi/>
      </w:pPr>
      <w:r>
        <w:t>تُرفض الإسرائيلية في الدعوى المحددة إذا ناقضت محكماً قرآنياً أو مقام نبوة ثابتاً أو أصلاً عقدياً، ولا يعني ذلك الحكم على كل عناصر الرواية أو على جميع ما روي من المصدر نفسه.</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النوع</w:t>
            </w:r>
          </w:p>
        </w:tc>
        <w:tc>
          <w:tcPr>
            <w:tcW w:type="dxa" w:w="2635"/>
            <w:vAlign w:val="center"/>
          </w:tcPr>
          <w:p>
            <w:pPr>
              <w:spacing w:line="283" w:lineRule="auto" w:after="0"/>
              <w:jc w:val="center"/>
              <w:bidi/>
            </w:pPr>
            <w:r>
              <w:rPr>
                <w:b/>
                <w:sz w:val="18"/>
              </w:rPr>
              <w:t>المثال الوظيفي</w:t>
            </w:r>
          </w:p>
        </w:tc>
        <w:tc>
          <w:tcPr>
            <w:tcW w:type="dxa" w:w="2635"/>
            <w:vAlign w:val="center"/>
          </w:tcPr>
          <w:p>
            <w:pPr>
              <w:spacing w:line="283" w:lineRule="auto" w:after="0"/>
              <w:jc w:val="center"/>
              <w:bidi/>
            </w:pPr>
            <w:r>
              <w:rPr>
                <w:b/>
                <w:sz w:val="18"/>
              </w:rPr>
              <w:t>الحكم</w:t>
            </w:r>
          </w:p>
        </w:tc>
      </w:tr>
      <w:tr>
        <w:tc>
          <w:tcPr>
            <w:tcW w:type="dxa" w:w="2635"/>
            <w:vAlign w:val="center"/>
          </w:tcPr>
          <w:p>
            <w:pPr>
              <w:spacing w:line="283" w:lineRule="auto" w:after="0"/>
              <w:jc w:val="right"/>
              <w:bidi/>
            </w:pPr>
            <w:r>
              <w:rPr>
                <w:sz w:val="18"/>
              </w:rPr>
              <w:t>تاريخية منخفضة الأثر</w:t>
            </w:r>
          </w:p>
        </w:tc>
        <w:tc>
          <w:tcPr>
            <w:tcW w:type="dxa" w:w="2635"/>
            <w:vAlign w:val="center"/>
          </w:tcPr>
          <w:p>
            <w:pPr>
              <w:spacing w:line="283" w:lineRule="auto" w:after="0"/>
              <w:jc w:val="right"/>
              <w:bidi/>
            </w:pPr>
            <w:r>
              <w:rPr>
                <w:sz w:val="18"/>
              </w:rPr>
              <w:t>تفصيل اسم أو مكان لا يؤثر في العقيدة أو الحكم</w:t>
            </w:r>
          </w:p>
        </w:tc>
        <w:tc>
          <w:tcPr>
            <w:tcW w:type="dxa" w:w="2635"/>
            <w:vAlign w:val="center"/>
          </w:tcPr>
          <w:p>
            <w:pPr>
              <w:spacing w:line="283" w:lineRule="auto" w:after="0"/>
              <w:jc w:val="right"/>
              <w:bidi/>
            </w:pPr>
            <w:r>
              <w:rPr>
                <w:sz w:val="18"/>
              </w:rPr>
              <w:t>استئناس تاريخي مع التصريح بالمصدر</w:t>
            </w:r>
          </w:p>
        </w:tc>
      </w:tr>
      <w:tr>
        <w:tc>
          <w:tcPr>
            <w:tcW w:type="dxa" w:w="2635"/>
            <w:vAlign w:val="center"/>
          </w:tcPr>
          <w:p>
            <w:pPr>
              <w:spacing w:line="283" w:lineRule="auto" w:after="0"/>
              <w:jc w:val="right"/>
              <w:bidi/>
            </w:pPr>
            <w:r>
              <w:rPr>
                <w:sz w:val="18"/>
              </w:rPr>
              <w:t>قصصية موجهة للعبرة</w:t>
            </w:r>
          </w:p>
        </w:tc>
        <w:tc>
          <w:tcPr>
            <w:tcW w:type="dxa" w:w="2635"/>
            <w:vAlign w:val="center"/>
          </w:tcPr>
          <w:p>
            <w:pPr>
              <w:spacing w:line="283" w:lineRule="auto" w:after="0"/>
              <w:jc w:val="right"/>
              <w:bidi/>
            </w:pPr>
            <w:r>
              <w:rPr>
                <w:sz w:val="18"/>
              </w:rPr>
              <w:t>تفصيل قد يغير مركز القصة</w:t>
            </w:r>
          </w:p>
        </w:tc>
        <w:tc>
          <w:tcPr>
            <w:tcW w:type="dxa" w:w="2635"/>
            <w:vAlign w:val="center"/>
          </w:tcPr>
          <w:p>
            <w:pPr>
              <w:spacing w:line="283" w:lineRule="auto" w:after="0"/>
              <w:jc w:val="right"/>
              <w:bidi/>
            </w:pPr>
            <w:r>
              <w:rPr>
                <w:sz w:val="18"/>
              </w:rPr>
              <w:t>حذر مرتفع ومقارنة بالسياق</w:t>
            </w:r>
          </w:p>
        </w:tc>
      </w:tr>
      <w:tr>
        <w:tc>
          <w:tcPr>
            <w:tcW w:type="dxa" w:w="2635"/>
            <w:vAlign w:val="center"/>
          </w:tcPr>
          <w:p>
            <w:pPr>
              <w:spacing w:line="283" w:lineRule="auto" w:after="0"/>
              <w:jc w:val="right"/>
              <w:bidi/>
            </w:pPr>
            <w:r>
              <w:rPr>
                <w:sz w:val="18"/>
              </w:rPr>
              <w:t>عقدية</w:t>
            </w:r>
          </w:p>
        </w:tc>
        <w:tc>
          <w:tcPr>
            <w:tcW w:type="dxa" w:w="2635"/>
            <w:vAlign w:val="center"/>
          </w:tcPr>
          <w:p>
            <w:pPr>
              <w:spacing w:line="283" w:lineRule="auto" w:after="0"/>
              <w:jc w:val="right"/>
              <w:bidi/>
            </w:pPr>
            <w:r>
              <w:rPr>
                <w:sz w:val="18"/>
              </w:rPr>
              <w:t>دعوى عن الله أو الملائكة أو الأنبياء</w:t>
            </w:r>
          </w:p>
        </w:tc>
        <w:tc>
          <w:tcPr>
            <w:tcW w:type="dxa" w:w="2635"/>
            <w:vAlign w:val="center"/>
          </w:tcPr>
          <w:p>
            <w:pPr>
              <w:spacing w:line="283" w:lineRule="auto" w:after="0"/>
              <w:jc w:val="right"/>
              <w:bidi/>
            </w:pPr>
            <w:r>
              <w:rPr>
                <w:sz w:val="18"/>
              </w:rPr>
              <w:t>لا تعتمد بلا دليل مستقل مرتفع</w:t>
            </w:r>
          </w:p>
        </w:tc>
      </w:tr>
      <w:tr>
        <w:tc>
          <w:tcPr>
            <w:tcW w:type="dxa" w:w="2635"/>
            <w:vAlign w:val="center"/>
          </w:tcPr>
          <w:p>
            <w:pPr>
              <w:spacing w:line="283" w:lineRule="auto" w:after="0"/>
              <w:jc w:val="right"/>
              <w:bidi/>
            </w:pPr>
            <w:r>
              <w:rPr>
                <w:sz w:val="18"/>
              </w:rPr>
              <w:t>تشريعية</w:t>
            </w:r>
          </w:p>
        </w:tc>
        <w:tc>
          <w:tcPr>
            <w:tcW w:type="dxa" w:w="2635"/>
            <w:vAlign w:val="center"/>
          </w:tcPr>
          <w:p>
            <w:pPr>
              <w:spacing w:line="283" w:lineRule="auto" w:after="0"/>
              <w:jc w:val="right"/>
              <w:bidi/>
            </w:pPr>
            <w:r>
              <w:rPr>
                <w:sz w:val="18"/>
              </w:rPr>
              <w:t>تفصيل ينتج حكماً أو حظراً</w:t>
            </w:r>
          </w:p>
        </w:tc>
        <w:tc>
          <w:tcPr>
            <w:tcW w:type="dxa" w:w="2635"/>
            <w:vAlign w:val="center"/>
          </w:tcPr>
          <w:p>
            <w:pPr>
              <w:spacing w:line="283" w:lineRule="auto" w:after="0"/>
              <w:jc w:val="right"/>
              <w:bidi/>
            </w:pPr>
            <w:r>
              <w:rPr>
                <w:sz w:val="18"/>
              </w:rPr>
              <w:t>لا حجية لها بذاتها</w:t>
            </w:r>
          </w:p>
        </w:tc>
      </w:tr>
      <w:tr>
        <w:tc>
          <w:tcPr>
            <w:tcW w:type="dxa" w:w="2635"/>
            <w:vAlign w:val="center"/>
          </w:tcPr>
          <w:p>
            <w:pPr>
              <w:spacing w:line="283" w:lineRule="auto" w:after="0"/>
              <w:jc w:val="right"/>
              <w:bidi/>
            </w:pPr>
            <w:r>
              <w:rPr>
                <w:sz w:val="18"/>
              </w:rPr>
              <w:t>مناقضة للمحكم</w:t>
            </w:r>
          </w:p>
        </w:tc>
        <w:tc>
          <w:tcPr>
            <w:tcW w:type="dxa" w:w="2635"/>
            <w:vAlign w:val="center"/>
          </w:tcPr>
          <w:p>
            <w:pPr>
              <w:spacing w:line="283" w:lineRule="auto" w:after="0"/>
              <w:jc w:val="right"/>
              <w:bidi/>
            </w:pPr>
            <w:r>
              <w:rPr>
                <w:sz w:val="18"/>
              </w:rPr>
              <w:t>تصادم أصلاً قرآنياً</w:t>
            </w:r>
          </w:p>
        </w:tc>
        <w:tc>
          <w:tcPr>
            <w:tcW w:type="dxa" w:w="2635"/>
            <w:vAlign w:val="center"/>
          </w:tcPr>
          <w:p>
            <w:pPr>
              <w:spacing w:line="283" w:lineRule="auto" w:after="0"/>
              <w:jc w:val="right"/>
              <w:bidi/>
            </w:pPr>
            <w:r>
              <w:rPr>
                <w:sz w:val="18"/>
              </w:rPr>
              <w:t>مردودة في الدعوى</w:t>
            </w:r>
          </w:p>
        </w:tc>
      </w:tr>
      <w:tr>
        <w:tc>
          <w:tcPr>
            <w:tcW w:type="dxa" w:w="2635"/>
            <w:vAlign w:val="center"/>
          </w:tcPr>
          <w:p>
            <w:pPr>
              <w:spacing w:line="283" w:lineRule="auto" w:after="0"/>
              <w:jc w:val="right"/>
              <w:bidi/>
            </w:pPr>
            <w:r>
              <w:rPr>
                <w:sz w:val="18"/>
              </w:rPr>
              <w:t>مجهولة المصدر</w:t>
            </w:r>
          </w:p>
        </w:tc>
        <w:tc>
          <w:tcPr>
            <w:tcW w:type="dxa" w:w="2635"/>
            <w:vAlign w:val="center"/>
          </w:tcPr>
          <w:p>
            <w:pPr>
              <w:spacing w:line="283" w:lineRule="auto" w:after="0"/>
              <w:jc w:val="right"/>
              <w:bidi/>
            </w:pPr>
            <w:r>
              <w:rPr>
                <w:sz w:val="18"/>
              </w:rPr>
              <w:t>لا يمكن تتبع أصلها</w:t>
            </w:r>
          </w:p>
        </w:tc>
        <w:tc>
          <w:tcPr>
            <w:tcW w:type="dxa" w:w="2635"/>
            <w:vAlign w:val="center"/>
          </w:tcPr>
          <w:p>
            <w:pPr>
              <w:spacing w:line="283" w:lineRule="auto" w:after="0"/>
              <w:jc w:val="right"/>
              <w:bidi/>
            </w:pPr>
            <w:r>
              <w:rPr>
                <w:sz w:val="18"/>
              </w:rPr>
              <w:t>توقف أو استبعاد من التفسير</w:t>
            </w:r>
          </w:p>
        </w:tc>
      </w:tr>
    </w:tbl>
    <w:p/>
    <w:p>
      <w:r>
        <w:br w:type="page"/>
      </w:r>
    </w:p>
    <w:p>
      <w:pPr>
        <w:pStyle w:val="Heading1"/>
        <w:spacing w:line="283" w:lineRule="auto" w:after="120"/>
        <w:jc w:val="right"/>
        <w:keepNext/>
        <w:bidi/>
      </w:pPr>
      <w:r>
        <w:t>القسم التركيبي الخامس: مدارس التفسير بالمأثور والمصنفات الكبرى</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المصنف</w:t>
            </w:r>
          </w:p>
        </w:tc>
        <w:tc>
          <w:tcPr>
            <w:tcW w:type="dxa" w:w="2635"/>
            <w:vAlign w:val="center"/>
          </w:tcPr>
          <w:p>
            <w:pPr>
              <w:spacing w:line="283" w:lineRule="auto" w:after="0"/>
              <w:jc w:val="center"/>
              <w:bidi/>
            </w:pPr>
            <w:r>
              <w:rPr>
                <w:b/>
                <w:sz w:val="18"/>
              </w:rPr>
              <w:t>سمته</w:t>
            </w:r>
          </w:p>
        </w:tc>
        <w:tc>
          <w:tcPr>
            <w:tcW w:type="dxa" w:w="2635"/>
            <w:vAlign w:val="center"/>
          </w:tcPr>
          <w:p>
            <w:pPr>
              <w:spacing w:line="283" w:lineRule="auto" w:after="0"/>
              <w:jc w:val="center"/>
              <w:bidi/>
            </w:pPr>
            <w:r>
              <w:rPr>
                <w:b/>
                <w:sz w:val="18"/>
              </w:rPr>
              <w:t>القاعدة النقدية</w:t>
            </w:r>
          </w:p>
        </w:tc>
      </w:tr>
      <w:tr>
        <w:tc>
          <w:tcPr>
            <w:tcW w:type="dxa" w:w="2635"/>
            <w:vAlign w:val="center"/>
          </w:tcPr>
          <w:p>
            <w:pPr>
              <w:spacing w:line="283" w:lineRule="auto" w:after="0"/>
              <w:jc w:val="right"/>
              <w:bidi/>
            </w:pPr>
            <w:r>
              <w:rPr>
                <w:sz w:val="18"/>
              </w:rPr>
              <w:t>تفسير الطبري</w:t>
            </w:r>
          </w:p>
        </w:tc>
        <w:tc>
          <w:tcPr>
            <w:tcW w:type="dxa" w:w="2635"/>
            <w:vAlign w:val="center"/>
          </w:tcPr>
          <w:p>
            <w:pPr>
              <w:spacing w:line="283" w:lineRule="auto" w:after="0"/>
              <w:jc w:val="right"/>
              <w:bidi/>
            </w:pPr>
            <w:r>
              <w:rPr>
                <w:sz w:val="18"/>
              </w:rPr>
              <w:t>جمع واسع للأقوال والأسانيد واللغة والترجيح</w:t>
            </w:r>
          </w:p>
        </w:tc>
        <w:tc>
          <w:tcPr>
            <w:tcW w:type="dxa" w:w="2635"/>
            <w:vAlign w:val="center"/>
          </w:tcPr>
          <w:p>
            <w:pPr>
              <w:spacing w:line="283" w:lineRule="auto" w:after="0"/>
              <w:jc w:val="right"/>
              <w:bidi/>
            </w:pPr>
            <w:r>
              <w:rPr>
                <w:sz w:val="18"/>
              </w:rPr>
              <w:t>ضرورة الفصل بين الرواية وترجيح المصنف، وتتبع الأصول المشتركة.</w:t>
            </w:r>
          </w:p>
        </w:tc>
      </w:tr>
      <w:tr>
        <w:tc>
          <w:tcPr>
            <w:tcW w:type="dxa" w:w="2635"/>
            <w:vAlign w:val="center"/>
          </w:tcPr>
          <w:p>
            <w:pPr>
              <w:spacing w:line="283" w:lineRule="auto" w:after="0"/>
              <w:jc w:val="right"/>
              <w:bidi/>
            </w:pPr>
            <w:r>
              <w:rPr>
                <w:sz w:val="18"/>
              </w:rPr>
              <w:t>تفسير ابن أبي حاتم</w:t>
            </w:r>
          </w:p>
        </w:tc>
        <w:tc>
          <w:tcPr>
            <w:tcW w:type="dxa" w:w="2635"/>
            <w:vAlign w:val="center"/>
          </w:tcPr>
          <w:p>
            <w:pPr>
              <w:spacing w:line="283" w:lineRule="auto" w:after="0"/>
              <w:jc w:val="right"/>
              <w:bidi/>
            </w:pPr>
            <w:r>
              <w:rPr>
                <w:sz w:val="18"/>
              </w:rPr>
              <w:t>مادة أثرية واسعة مع تقليل التعليق</w:t>
            </w:r>
          </w:p>
        </w:tc>
        <w:tc>
          <w:tcPr>
            <w:tcW w:type="dxa" w:w="2635"/>
            <w:vAlign w:val="center"/>
          </w:tcPr>
          <w:p>
            <w:pPr>
              <w:spacing w:line="283" w:lineRule="auto" w:after="0"/>
              <w:jc w:val="right"/>
              <w:bidi/>
            </w:pPr>
            <w:r>
              <w:rPr>
                <w:sz w:val="18"/>
              </w:rPr>
              <w:t>كثرة المرويات لا تعني صحتها، وتحتاج إلى شبكة طرق.</w:t>
            </w:r>
          </w:p>
        </w:tc>
      </w:tr>
      <w:tr>
        <w:tc>
          <w:tcPr>
            <w:tcW w:type="dxa" w:w="2635"/>
            <w:vAlign w:val="center"/>
          </w:tcPr>
          <w:p>
            <w:pPr>
              <w:spacing w:line="283" w:lineRule="auto" w:after="0"/>
              <w:jc w:val="right"/>
              <w:bidi/>
            </w:pPr>
            <w:r>
              <w:rPr>
                <w:sz w:val="18"/>
              </w:rPr>
              <w:t>تفسير عبد الرزاق</w:t>
            </w:r>
          </w:p>
        </w:tc>
        <w:tc>
          <w:tcPr>
            <w:tcW w:type="dxa" w:w="2635"/>
            <w:vAlign w:val="center"/>
          </w:tcPr>
          <w:p>
            <w:pPr>
              <w:spacing w:line="283" w:lineRule="auto" w:after="0"/>
              <w:jc w:val="right"/>
              <w:bidi/>
            </w:pPr>
            <w:r>
              <w:rPr>
                <w:sz w:val="18"/>
              </w:rPr>
              <w:t>طبقة مبكرة وطرق إلى معمر وغيره</w:t>
            </w:r>
          </w:p>
        </w:tc>
        <w:tc>
          <w:tcPr>
            <w:tcW w:type="dxa" w:w="2635"/>
            <w:vAlign w:val="center"/>
          </w:tcPr>
          <w:p>
            <w:pPr>
              <w:spacing w:line="283" w:lineRule="auto" w:after="0"/>
              <w:jc w:val="right"/>
              <w:bidi/>
            </w:pPr>
            <w:r>
              <w:rPr>
                <w:sz w:val="18"/>
              </w:rPr>
              <w:t>أهمية الأصل الكتابي ومخاطر عد الفروع مستقلة.</w:t>
            </w:r>
          </w:p>
        </w:tc>
      </w:tr>
      <w:tr>
        <w:tc>
          <w:tcPr>
            <w:tcW w:type="dxa" w:w="2635"/>
            <w:vAlign w:val="center"/>
          </w:tcPr>
          <w:p>
            <w:pPr>
              <w:spacing w:line="283" w:lineRule="auto" w:after="0"/>
              <w:jc w:val="right"/>
              <w:bidi/>
            </w:pPr>
            <w:r>
              <w:rPr>
                <w:sz w:val="18"/>
              </w:rPr>
              <w:t>تفسير ابن المنذر</w:t>
            </w:r>
          </w:p>
        </w:tc>
        <w:tc>
          <w:tcPr>
            <w:tcW w:type="dxa" w:w="2635"/>
            <w:vAlign w:val="center"/>
          </w:tcPr>
          <w:p>
            <w:pPr>
              <w:spacing w:line="283" w:lineRule="auto" w:after="0"/>
              <w:jc w:val="right"/>
              <w:bidi/>
            </w:pPr>
            <w:r>
              <w:rPr>
                <w:sz w:val="18"/>
              </w:rPr>
              <w:t>مرويات وأقوال مبكرة</w:t>
            </w:r>
          </w:p>
        </w:tc>
        <w:tc>
          <w:tcPr>
            <w:tcW w:type="dxa" w:w="2635"/>
            <w:vAlign w:val="center"/>
          </w:tcPr>
          <w:p>
            <w:pPr>
              <w:spacing w:line="283" w:lineRule="auto" w:after="0"/>
              <w:jc w:val="right"/>
              <w:bidi/>
            </w:pPr>
            <w:r>
              <w:rPr>
                <w:sz w:val="18"/>
              </w:rPr>
              <w:t>يفيد في تاريخ الاختلاف ولا يحسمه بمجرد النقل.</w:t>
            </w:r>
          </w:p>
        </w:tc>
      </w:tr>
      <w:tr>
        <w:tc>
          <w:tcPr>
            <w:tcW w:type="dxa" w:w="2635"/>
            <w:vAlign w:val="center"/>
          </w:tcPr>
          <w:p>
            <w:pPr>
              <w:spacing w:line="283" w:lineRule="auto" w:after="0"/>
              <w:jc w:val="right"/>
              <w:bidi/>
            </w:pPr>
            <w:r>
              <w:rPr>
                <w:sz w:val="18"/>
              </w:rPr>
              <w:t>الدر المنثور</w:t>
            </w:r>
          </w:p>
        </w:tc>
        <w:tc>
          <w:tcPr>
            <w:tcW w:type="dxa" w:w="2635"/>
            <w:vAlign w:val="center"/>
          </w:tcPr>
          <w:p>
            <w:pPr>
              <w:spacing w:line="283" w:lineRule="auto" w:after="0"/>
              <w:jc w:val="right"/>
              <w:bidi/>
            </w:pPr>
            <w:r>
              <w:rPr>
                <w:sz w:val="18"/>
              </w:rPr>
              <w:t>جمع واسع متأخر للمرويات من مصادر كثيرة</w:t>
            </w:r>
          </w:p>
        </w:tc>
        <w:tc>
          <w:tcPr>
            <w:tcW w:type="dxa" w:w="2635"/>
            <w:vAlign w:val="center"/>
          </w:tcPr>
          <w:p>
            <w:pPr>
              <w:spacing w:line="283" w:lineRule="auto" w:after="0"/>
              <w:jc w:val="right"/>
              <w:bidi/>
            </w:pPr>
            <w:r>
              <w:rPr>
                <w:sz w:val="18"/>
              </w:rPr>
              <w:t>يفيد في الاستدعاء ولا يغني عن الرجوع إلى الأصول والأسانيد.</w:t>
            </w:r>
          </w:p>
        </w:tc>
      </w:tr>
      <w:tr>
        <w:tc>
          <w:tcPr>
            <w:tcW w:type="dxa" w:w="2635"/>
            <w:vAlign w:val="center"/>
          </w:tcPr>
          <w:p>
            <w:pPr>
              <w:spacing w:line="283" w:lineRule="auto" w:after="0"/>
              <w:jc w:val="right"/>
              <w:bidi/>
            </w:pPr>
            <w:r>
              <w:rPr>
                <w:sz w:val="18"/>
              </w:rPr>
              <w:t>تفسير ابن كثير</w:t>
            </w:r>
          </w:p>
        </w:tc>
        <w:tc>
          <w:tcPr>
            <w:tcW w:type="dxa" w:w="2635"/>
            <w:vAlign w:val="center"/>
          </w:tcPr>
          <w:p>
            <w:pPr>
              <w:spacing w:line="283" w:lineRule="auto" w:after="0"/>
              <w:jc w:val="right"/>
              <w:bidi/>
            </w:pPr>
            <w:r>
              <w:rPr>
                <w:sz w:val="18"/>
              </w:rPr>
              <w:t>مأثور مع نقد حديثي واختيار</w:t>
            </w:r>
          </w:p>
        </w:tc>
        <w:tc>
          <w:tcPr>
            <w:tcW w:type="dxa" w:w="2635"/>
            <w:vAlign w:val="center"/>
          </w:tcPr>
          <w:p>
            <w:pPr>
              <w:spacing w:line="283" w:lineRule="auto" w:after="0"/>
              <w:jc w:val="right"/>
              <w:bidi/>
            </w:pPr>
            <w:r>
              <w:rPr>
                <w:sz w:val="18"/>
              </w:rPr>
              <w:t>يجب فصل مادة الرواية من منهج الناقد وترجيحه العقدي والفقهي.</w:t>
            </w:r>
          </w:p>
        </w:tc>
      </w:tr>
      <w:tr>
        <w:tc>
          <w:tcPr>
            <w:tcW w:type="dxa" w:w="2635"/>
            <w:vAlign w:val="center"/>
          </w:tcPr>
          <w:p>
            <w:pPr>
              <w:spacing w:line="283" w:lineRule="auto" w:after="0"/>
              <w:jc w:val="right"/>
              <w:bidi/>
            </w:pPr>
            <w:r>
              <w:rPr>
                <w:sz w:val="18"/>
              </w:rPr>
              <w:t>تفسير القمي</w:t>
            </w:r>
          </w:p>
        </w:tc>
        <w:tc>
          <w:tcPr>
            <w:tcW w:type="dxa" w:w="2635"/>
            <w:vAlign w:val="center"/>
          </w:tcPr>
          <w:p>
            <w:pPr>
              <w:spacing w:line="283" w:lineRule="auto" w:after="0"/>
              <w:jc w:val="right"/>
              <w:bidi/>
            </w:pPr>
            <w:r>
              <w:rPr>
                <w:sz w:val="18"/>
              </w:rPr>
              <w:t>مادة إمامية مبكرة مركبة الإسناد والتحرير</w:t>
            </w:r>
          </w:p>
        </w:tc>
        <w:tc>
          <w:tcPr>
            <w:tcW w:type="dxa" w:w="2635"/>
            <w:vAlign w:val="center"/>
          </w:tcPr>
          <w:p>
            <w:pPr>
              <w:spacing w:line="283" w:lineRule="auto" w:after="0"/>
              <w:jc w:val="right"/>
              <w:bidi/>
            </w:pPr>
            <w:r>
              <w:rPr>
                <w:sz w:val="18"/>
              </w:rPr>
              <w:t>يحتاج إلى تحليل طبقات الكتاب والنسبة والروايات.</w:t>
            </w:r>
          </w:p>
        </w:tc>
      </w:tr>
      <w:tr>
        <w:tc>
          <w:tcPr>
            <w:tcW w:type="dxa" w:w="2635"/>
            <w:vAlign w:val="center"/>
          </w:tcPr>
          <w:p>
            <w:pPr>
              <w:spacing w:line="283" w:lineRule="auto" w:after="0"/>
              <w:jc w:val="right"/>
              <w:bidi/>
            </w:pPr>
            <w:r>
              <w:rPr>
                <w:sz w:val="18"/>
              </w:rPr>
              <w:t>تفسير العياشي</w:t>
            </w:r>
          </w:p>
        </w:tc>
        <w:tc>
          <w:tcPr>
            <w:tcW w:type="dxa" w:w="2635"/>
            <w:vAlign w:val="center"/>
          </w:tcPr>
          <w:p>
            <w:pPr>
              <w:spacing w:line="283" w:lineRule="auto" w:after="0"/>
              <w:jc w:val="right"/>
              <w:bidi/>
            </w:pPr>
            <w:r>
              <w:rPr>
                <w:sz w:val="18"/>
              </w:rPr>
              <w:t>مأثور إمامي مع فقد أسانيد في النسخة المتداولة</w:t>
            </w:r>
          </w:p>
        </w:tc>
        <w:tc>
          <w:tcPr>
            <w:tcW w:type="dxa" w:w="2635"/>
            <w:vAlign w:val="center"/>
          </w:tcPr>
          <w:p>
            <w:pPr>
              <w:spacing w:line="283" w:lineRule="auto" w:after="0"/>
              <w:jc w:val="right"/>
              <w:bidi/>
            </w:pPr>
            <w:r>
              <w:rPr>
                <w:sz w:val="18"/>
              </w:rPr>
              <w:t>يُراعى تاريخ اختصار الأسانيد وحدود الثبوت.</w:t>
            </w:r>
          </w:p>
        </w:tc>
      </w:tr>
      <w:tr>
        <w:tc>
          <w:tcPr>
            <w:tcW w:type="dxa" w:w="2635"/>
            <w:vAlign w:val="center"/>
          </w:tcPr>
          <w:p>
            <w:pPr>
              <w:spacing w:line="283" w:lineRule="auto" w:after="0"/>
              <w:jc w:val="right"/>
              <w:bidi/>
            </w:pPr>
            <w:r>
              <w:rPr>
                <w:sz w:val="18"/>
              </w:rPr>
              <w:t>تفسير البرهان</w:t>
            </w:r>
          </w:p>
        </w:tc>
        <w:tc>
          <w:tcPr>
            <w:tcW w:type="dxa" w:w="2635"/>
            <w:vAlign w:val="center"/>
          </w:tcPr>
          <w:p>
            <w:pPr>
              <w:spacing w:line="283" w:lineRule="auto" w:after="0"/>
              <w:jc w:val="right"/>
              <w:bidi/>
            </w:pPr>
            <w:r>
              <w:rPr>
                <w:sz w:val="18"/>
              </w:rPr>
              <w:t>جمع روائي إمامي متأخر</w:t>
            </w:r>
          </w:p>
        </w:tc>
        <w:tc>
          <w:tcPr>
            <w:tcW w:type="dxa" w:w="2635"/>
            <w:vAlign w:val="center"/>
          </w:tcPr>
          <w:p>
            <w:pPr>
              <w:spacing w:line="283" w:lineRule="auto" w:after="0"/>
              <w:jc w:val="right"/>
              <w:bidi/>
            </w:pPr>
            <w:r>
              <w:rPr>
                <w:sz w:val="18"/>
              </w:rPr>
              <w:t>الاستيعاب مفيد لكن الإيداع لا يساوي الاعتماد.</w:t>
            </w:r>
          </w:p>
        </w:tc>
      </w:tr>
      <w:tr>
        <w:tc>
          <w:tcPr>
            <w:tcW w:type="dxa" w:w="2635"/>
            <w:vAlign w:val="center"/>
          </w:tcPr>
          <w:p>
            <w:pPr>
              <w:spacing w:line="283" w:lineRule="auto" w:after="0"/>
              <w:jc w:val="right"/>
              <w:bidi/>
            </w:pPr>
            <w:r>
              <w:rPr>
                <w:sz w:val="18"/>
              </w:rPr>
              <w:t>نور الثقلين</w:t>
            </w:r>
          </w:p>
        </w:tc>
        <w:tc>
          <w:tcPr>
            <w:tcW w:type="dxa" w:w="2635"/>
            <w:vAlign w:val="center"/>
          </w:tcPr>
          <w:p>
            <w:pPr>
              <w:spacing w:line="283" w:lineRule="auto" w:after="0"/>
              <w:jc w:val="right"/>
              <w:bidi/>
            </w:pPr>
            <w:r>
              <w:rPr>
                <w:sz w:val="18"/>
              </w:rPr>
              <w:t>تجميع روائي موضوعي بحسب الآيات</w:t>
            </w:r>
          </w:p>
        </w:tc>
        <w:tc>
          <w:tcPr>
            <w:tcW w:type="dxa" w:w="2635"/>
            <w:vAlign w:val="center"/>
          </w:tcPr>
          <w:p>
            <w:pPr>
              <w:spacing w:line="283" w:lineRule="auto" w:after="0"/>
              <w:jc w:val="right"/>
              <w:bidi/>
            </w:pPr>
            <w:r>
              <w:rPr>
                <w:sz w:val="18"/>
              </w:rPr>
              <w:t>يخدم المدونة ويحتاج إلى نقد الطرق والمتون والوظائف.</w:t>
            </w:r>
          </w:p>
        </w:tc>
      </w:tr>
    </w:tbl>
    <w:p/>
    <w:p>
      <w:pPr>
        <w:pStyle w:val="Heading2"/>
        <w:spacing w:line="283" w:lineRule="auto" w:after="120"/>
        <w:jc w:val="right"/>
        <w:keepNext/>
        <w:bidi/>
      </w:pPr>
      <w:r>
        <w:t>تفسير الطبري</w:t>
      </w:r>
    </w:p>
    <w:p>
      <w:pPr>
        <w:spacing w:line="283" w:lineRule="auto" w:after="80"/>
        <w:ind w:firstLine="397"/>
        <w:jc w:val="both"/>
        <w:bidi/>
      </w:pPr>
      <w:r>
        <w:t>جمع واسع للأقوال والأسانيد واللغة والترجيح. ضرورة الفصل بين الرواية وترجيح المصنف، وتتبع الأصول المشتركة.</w:t>
      </w:r>
    </w:p>
    <w:p>
      <w:pPr>
        <w:spacing w:line="283" w:lineRule="auto" w:after="80"/>
        <w:ind w:firstLine="397"/>
        <w:jc w:val="both"/>
        <w:bidi/>
      </w:pPr>
      <w:r>
        <w:t>يُقرأ المصنف بوصفه عملاً تحريرياً له مصادر وطرق واختيارات وطبقات نسخ، ولا تُنقل الرواية منه إلى الحكم قبل الرجوع إلى أقرب مصدر متاح ومقارنة الصيغ والطرق.</w:t>
      </w:r>
    </w:p>
    <w:p>
      <w:pPr>
        <w:pStyle w:val="Heading2"/>
        <w:spacing w:line="283" w:lineRule="auto" w:after="120"/>
        <w:jc w:val="right"/>
        <w:keepNext/>
        <w:bidi/>
      </w:pPr>
      <w:r>
        <w:t>تفسير ابن أبي حاتم</w:t>
      </w:r>
    </w:p>
    <w:p>
      <w:pPr>
        <w:spacing w:line="283" w:lineRule="auto" w:after="80"/>
        <w:ind w:firstLine="397"/>
        <w:jc w:val="both"/>
        <w:bidi/>
      </w:pPr>
      <w:r>
        <w:t>مادة أثرية واسعة مع تقليل التعليق. كثرة المرويات لا تعني صحتها، وتحتاج إلى شبكة طرق.</w:t>
      </w:r>
    </w:p>
    <w:p>
      <w:pPr>
        <w:spacing w:line="283" w:lineRule="auto" w:after="80"/>
        <w:ind w:firstLine="397"/>
        <w:jc w:val="both"/>
        <w:bidi/>
      </w:pPr>
      <w:r>
        <w:t>يُقرأ المصنف بوصفه عملاً تحريرياً له مصادر وطرق واختيارات وطبقات نسخ، ولا تُنقل الرواية منه إلى الحكم قبل الرجوع إلى أقرب مصدر متاح ومقارنة الصيغ والطرق.</w:t>
      </w:r>
    </w:p>
    <w:p>
      <w:pPr>
        <w:pStyle w:val="Heading2"/>
        <w:spacing w:line="283" w:lineRule="auto" w:after="120"/>
        <w:jc w:val="right"/>
        <w:keepNext/>
        <w:bidi/>
      </w:pPr>
      <w:r>
        <w:t>تفسير عبد الرزاق</w:t>
      </w:r>
    </w:p>
    <w:p>
      <w:pPr>
        <w:spacing w:line="283" w:lineRule="auto" w:after="80"/>
        <w:ind w:firstLine="397"/>
        <w:jc w:val="both"/>
        <w:bidi/>
      </w:pPr>
      <w:r>
        <w:t>طبقة مبكرة وطرق إلى معمر وغيره. أهمية الأصل الكتابي ومخاطر عد الفروع مستقلة.</w:t>
      </w:r>
    </w:p>
    <w:p>
      <w:pPr>
        <w:spacing w:line="283" w:lineRule="auto" w:after="80"/>
        <w:ind w:firstLine="397"/>
        <w:jc w:val="both"/>
        <w:bidi/>
      </w:pPr>
      <w:r>
        <w:t>يُقرأ المصنف بوصفه عملاً تحريرياً له مصادر وطرق واختيارات وطبقات نسخ، ولا تُنقل الرواية منه إلى الحكم قبل الرجوع إلى أقرب مصدر متاح ومقارنة الصيغ والطرق.</w:t>
      </w:r>
    </w:p>
    <w:p>
      <w:pPr>
        <w:pStyle w:val="Heading2"/>
        <w:spacing w:line="283" w:lineRule="auto" w:after="120"/>
        <w:jc w:val="right"/>
        <w:keepNext/>
        <w:bidi/>
      </w:pPr>
      <w:r>
        <w:t>تفسير ابن المنذر</w:t>
      </w:r>
    </w:p>
    <w:p>
      <w:pPr>
        <w:spacing w:line="283" w:lineRule="auto" w:after="80"/>
        <w:ind w:firstLine="397"/>
        <w:jc w:val="both"/>
        <w:bidi/>
      </w:pPr>
      <w:r>
        <w:t>مرويات وأقوال مبكرة. يفيد في تاريخ الاختلاف ولا يحسمه بمجرد النقل.</w:t>
      </w:r>
    </w:p>
    <w:p>
      <w:pPr>
        <w:spacing w:line="283" w:lineRule="auto" w:after="80"/>
        <w:ind w:firstLine="397"/>
        <w:jc w:val="both"/>
        <w:bidi/>
      </w:pPr>
      <w:r>
        <w:t>يُقرأ المصنف بوصفه عملاً تحريرياً له مصادر وطرق واختيارات وطبقات نسخ، ولا تُنقل الرواية منه إلى الحكم قبل الرجوع إلى أقرب مصدر متاح ومقارنة الصيغ والطرق.</w:t>
      </w:r>
    </w:p>
    <w:p>
      <w:pPr>
        <w:pStyle w:val="Heading2"/>
        <w:spacing w:line="283" w:lineRule="auto" w:after="120"/>
        <w:jc w:val="right"/>
        <w:keepNext/>
        <w:bidi/>
      </w:pPr>
      <w:r>
        <w:t>الدر المنثور</w:t>
      </w:r>
    </w:p>
    <w:p>
      <w:pPr>
        <w:spacing w:line="283" w:lineRule="auto" w:after="80"/>
        <w:ind w:firstLine="397"/>
        <w:jc w:val="both"/>
        <w:bidi/>
      </w:pPr>
      <w:r>
        <w:t>جمع واسع متأخر للمرويات من مصادر كثيرة. يفيد في الاستدعاء ولا يغني عن الرجوع إلى الأصول والأسانيد.</w:t>
      </w:r>
    </w:p>
    <w:p>
      <w:pPr>
        <w:spacing w:line="283" w:lineRule="auto" w:after="80"/>
        <w:ind w:firstLine="397"/>
        <w:jc w:val="both"/>
        <w:bidi/>
      </w:pPr>
      <w:r>
        <w:t>يُقرأ المصنف بوصفه عملاً تحريرياً له مصادر وطرق واختيارات وطبقات نسخ، ولا تُنقل الرواية منه إلى الحكم قبل الرجوع إلى أقرب مصدر متاح ومقارنة الصيغ والطرق.</w:t>
      </w:r>
    </w:p>
    <w:p>
      <w:pPr>
        <w:pStyle w:val="Heading2"/>
        <w:spacing w:line="283" w:lineRule="auto" w:after="120"/>
        <w:jc w:val="right"/>
        <w:keepNext/>
        <w:bidi/>
      </w:pPr>
      <w:r>
        <w:t>تفسير ابن كثير</w:t>
      </w:r>
    </w:p>
    <w:p>
      <w:pPr>
        <w:spacing w:line="283" w:lineRule="auto" w:after="80"/>
        <w:ind w:firstLine="397"/>
        <w:jc w:val="both"/>
        <w:bidi/>
      </w:pPr>
      <w:r>
        <w:t>مأثور مع نقد حديثي واختيار. يجب فصل مادة الرواية من منهج الناقد وترجيحه العقدي والفقهي.</w:t>
      </w:r>
    </w:p>
    <w:p>
      <w:pPr>
        <w:spacing w:line="283" w:lineRule="auto" w:after="80"/>
        <w:ind w:firstLine="397"/>
        <w:jc w:val="both"/>
        <w:bidi/>
      </w:pPr>
      <w:r>
        <w:t>يُقرأ المصنف بوصفه عملاً تحريرياً له مصادر وطرق واختيارات وطبقات نسخ، ولا تُنقل الرواية منه إلى الحكم قبل الرجوع إلى أقرب مصدر متاح ومقارنة الصيغ والطرق.</w:t>
      </w:r>
    </w:p>
    <w:p>
      <w:pPr>
        <w:pStyle w:val="Heading2"/>
        <w:spacing w:line="283" w:lineRule="auto" w:after="120"/>
        <w:jc w:val="right"/>
        <w:keepNext/>
        <w:bidi/>
      </w:pPr>
      <w:r>
        <w:t>تفسير القمي</w:t>
      </w:r>
    </w:p>
    <w:p>
      <w:pPr>
        <w:spacing w:line="283" w:lineRule="auto" w:after="80"/>
        <w:ind w:firstLine="397"/>
        <w:jc w:val="both"/>
        <w:bidi/>
      </w:pPr>
      <w:r>
        <w:t>مادة إمامية مبكرة مركبة الإسناد والتحرير. يحتاج إلى تحليل طبقات الكتاب والنسبة والروايات.</w:t>
      </w:r>
    </w:p>
    <w:p>
      <w:pPr>
        <w:spacing w:line="283" w:lineRule="auto" w:after="80"/>
        <w:ind w:firstLine="397"/>
        <w:jc w:val="both"/>
        <w:bidi/>
      </w:pPr>
      <w:r>
        <w:t>يُقرأ المصنف بوصفه عملاً تحريرياً له مصادر وطرق واختيارات وطبقات نسخ، ولا تُنقل الرواية منه إلى الحكم قبل الرجوع إلى أقرب مصدر متاح ومقارنة الصيغ والطرق.</w:t>
      </w:r>
    </w:p>
    <w:p>
      <w:pPr>
        <w:pStyle w:val="Heading2"/>
        <w:spacing w:line="283" w:lineRule="auto" w:after="120"/>
        <w:jc w:val="right"/>
        <w:keepNext/>
        <w:bidi/>
      </w:pPr>
      <w:r>
        <w:t>تفسير العياشي</w:t>
      </w:r>
    </w:p>
    <w:p>
      <w:pPr>
        <w:spacing w:line="283" w:lineRule="auto" w:after="80"/>
        <w:ind w:firstLine="397"/>
        <w:jc w:val="both"/>
        <w:bidi/>
      </w:pPr>
      <w:r>
        <w:t>مأثور إمامي مع فقد أسانيد في النسخة المتداولة. يُراعى تاريخ اختصار الأسانيد وحدود الثبوت.</w:t>
      </w:r>
    </w:p>
    <w:p>
      <w:pPr>
        <w:spacing w:line="283" w:lineRule="auto" w:after="80"/>
        <w:ind w:firstLine="397"/>
        <w:jc w:val="both"/>
        <w:bidi/>
      </w:pPr>
      <w:r>
        <w:t>يُقرأ المصنف بوصفه عملاً تحريرياً له مصادر وطرق واختيارات وطبقات نسخ، ولا تُنقل الرواية منه إلى الحكم قبل الرجوع إلى أقرب مصدر متاح ومقارنة الصيغ والطرق.</w:t>
      </w:r>
    </w:p>
    <w:p>
      <w:pPr>
        <w:pStyle w:val="Heading2"/>
        <w:spacing w:line="283" w:lineRule="auto" w:after="120"/>
        <w:jc w:val="right"/>
        <w:keepNext/>
        <w:bidi/>
      </w:pPr>
      <w:r>
        <w:t>تفسير البرهان</w:t>
      </w:r>
    </w:p>
    <w:p>
      <w:pPr>
        <w:spacing w:line="283" w:lineRule="auto" w:after="80"/>
        <w:ind w:firstLine="397"/>
        <w:jc w:val="both"/>
        <w:bidi/>
      </w:pPr>
      <w:r>
        <w:t>جمع روائي إمامي متأخر. الاستيعاب مفيد لكن الإيداع لا يساوي الاعتماد.</w:t>
      </w:r>
    </w:p>
    <w:p>
      <w:pPr>
        <w:spacing w:line="283" w:lineRule="auto" w:after="80"/>
        <w:ind w:firstLine="397"/>
        <w:jc w:val="both"/>
        <w:bidi/>
      </w:pPr>
      <w:r>
        <w:t>يُقرأ المصنف بوصفه عملاً تحريرياً له مصادر وطرق واختيارات وطبقات نسخ، ولا تُنقل الرواية منه إلى الحكم قبل الرجوع إلى أقرب مصدر متاح ومقارنة الصيغ والطرق.</w:t>
      </w:r>
    </w:p>
    <w:p>
      <w:pPr>
        <w:pStyle w:val="Heading2"/>
        <w:spacing w:line="283" w:lineRule="auto" w:after="120"/>
        <w:jc w:val="right"/>
        <w:keepNext/>
        <w:bidi/>
      </w:pPr>
      <w:r>
        <w:t>نور الثقلين</w:t>
      </w:r>
    </w:p>
    <w:p>
      <w:pPr>
        <w:spacing w:line="283" w:lineRule="auto" w:after="80"/>
        <w:ind w:firstLine="397"/>
        <w:jc w:val="both"/>
        <w:bidi/>
      </w:pPr>
      <w:r>
        <w:t>تجميع روائي موضوعي بحسب الآيات. يخدم المدونة ويحتاج إلى نقد الطرق والمتون والوظائف.</w:t>
      </w:r>
    </w:p>
    <w:p>
      <w:pPr>
        <w:spacing w:line="283" w:lineRule="auto" w:after="80"/>
        <w:ind w:firstLine="397"/>
        <w:jc w:val="both"/>
        <w:bidi/>
      </w:pPr>
      <w:r>
        <w:t>يُقرأ المصنف بوصفه عملاً تحريرياً له مصادر وطرق واختيارات وطبقات نسخ، ولا تُنقل الرواية منه إلى الحكم قبل الرجوع إلى أقرب مصدر متاح ومقارنة الصيغ والطرق.</w:t>
      </w:r>
    </w:p>
    <w:p>
      <w:r>
        <w:br w:type="page"/>
      </w:r>
    </w:p>
    <w:p>
      <w:pPr>
        <w:pStyle w:val="Heading1"/>
        <w:spacing w:line="283" w:lineRule="auto" w:after="120"/>
        <w:jc w:val="right"/>
        <w:keepNext/>
        <w:bidi/>
      </w:pPr>
      <w:r>
        <w:t>القسم التركيبي السادس: عشرون مختبراً تطبيقياً</w:t>
      </w:r>
    </w:p>
    <w:p>
      <w:pPr>
        <w:pStyle w:val="Heading2"/>
        <w:spacing w:line="283" w:lineRule="auto" w:after="120"/>
        <w:jc w:val="right"/>
        <w:keepNext/>
        <w:bidi/>
      </w:pPr>
      <w:r>
        <w:t>تفسير المغضوب عليهم والضالين</w:t>
      </w:r>
    </w:p>
    <w:p>
      <w:pPr>
        <w:spacing w:line="283" w:lineRule="auto" w:after="80"/>
        <w:ind w:firstLine="397"/>
        <w:jc w:val="both"/>
        <w:bidi/>
      </w:pPr>
      <w:r>
        <w:t>الموضع: الفاتحة. محور المختبر: المثال والمصداق وحدود الحصر.</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الكرسي والعرش</w:t>
      </w:r>
    </w:p>
    <w:p>
      <w:pPr>
        <w:spacing w:line="283" w:lineRule="auto" w:after="80"/>
        <w:ind w:firstLine="397"/>
        <w:jc w:val="both"/>
        <w:bidi/>
      </w:pPr>
      <w:r>
        <w:t>الموضع: العقيدة. محور المختبر: المرفوع والإسرائيليات والتنزيه.</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آية التطهير</w:t>
      </w:r>
    </w:p>
    <w:p>
      <w:pPr>
        <w:spacing w:line="283" w:lineRule="auto" w:after="80"/>
        <w:ind w:firstLine="397"/>
        <w:jc w:val="both"/>
        <w:bidi/>
      </w:pPr>
      <w:r>
        <w:t>الموضع: الأحزاب. محور المختبر: المأثور والسياق وتعيين المخاطب.</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آية الولاية</w:t>
      </w:r>
    </w:p>
    <w:p>
      <w:pPr>
        <w:spacing w:line="283" w:lineRule="auto" w:after="80"/>
        <w:ind w:firstLine="397"/>
        <w:jc w:val="both"/>
        <w:bidi/>
      </w:pPr>
      <w:r>
        <w:t>الموضع: المائدة. محور المختبر: الروايات والمصداق والعموم.</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أولي الأمر</w:t>
      </w:r>
    </w:p>
    <w:p>
      <w:pPr>
        <w:spacing w:line="283" w:lineRule="auto" w:after="80"/>
        <w:ind w:firstLine="397"/>
        <w:jc w:val="both"/>
        <w:bidi/>
      </w:pPr>
      <w:r>
        <w:t>الموضع: النساء. محور المختبر: اختلاف المأثور والحجية العقدية والسياسية.</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المباهلة</w:t>
      </w:r>
    </w:p>
    <w:p>
      <w:pPr>
        <w:spacing w:line="283" w:lineRule="auto" w:after="80"/>
        <w:ind w:firstLine="397"/>
        <w:jc w:val="both"/>
        <w:bidi/>
      </w:pPr>
      <w:r>
        <w:t>الموضع: آل عمران. محور المختبر: ثبوت الواقعة وحدود الدلالة.</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السعي بين الصفا والمروة</w:t>
      </w:r>
    </w:p>
    <w:p>
      <w:pPr>
        <w:spacing w:line="283" w:lineRule="auto" w:after="80"/>
        <w:ind w:firstLine="397"/>
        <w:jc w:val="both"/>
        <w:bidi/>
      </w:pPr>
      <w:r>
        <w:t>الموضع: البقرة. محور المختبر: سبب النزول والسياق ورفع الحرج.</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الروح</w:t>
      </w:r>
    </w:p>
    <w:p>
      <w:pPr>
        <w:spacing w:line="283" w:lineRule="auto" w:after="80"/>
        <w:ind w:firstLine="397"/>
        <w:jc w:val="both"/>
        <w:bidi/>
      </w:pPr>
      <w:r>
        <w:t>الموضع: الإسراء. محور المختبر: الروايات والغيبيات وحدود التفصيل.</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الخضر</w:t>
      </w:r>
    </w:p>
    <w:p>
      <w:pPr>
        <w:spacing w:line="283" w:lineRule="auto" w:after="80"/>
        <w:ind w:firstLine="397"/>
        <w:jc w:val="both"/>
        <w:bidi/>
      </w:pPr>
      <w:r>
        <w:t>الموضع: الكهف. محور المختبر: المأثور القصصي والسكوت القرآني.</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أصحاب الكهف</w:t>
      </w:r>
    </w:p>
    <w:p>
      <w:pPr>
        <w:spacing w:line="283" w:lineRule="auto" w:after="80"/>
        <w:ind w:firstLine="397"/>
        <w:jc w:val="both"/>
        <w:bidi/>
      </w:pPr>
      <w:r>
        <w:t>الموضع: الكهف. محور المختبر: الأسماء والأعداد والإسرائيليات.</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ذو القرنين</w:t>
      </w:r>
    </w:p>
    <w:p>
      <w:pPr>
        <w:spacing w:line="283" w:lineRule="auto" w:after="80"/>
        <w:ind w:firstLine="397"/>
        <w:jc w:val="both"/>
        <w:bidi/>
      </w:pPr>
      <w:r>
        <w:t>الموضع: الكهف. محور المختبر: التعيين التاريخي وحدود النص.</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الذبيح</w:t>
      </w:r>
    </w:p>
    <w:p>
      <w:pPr>
        <w:spacing w:line="283" w:lineRule="auto" w:after="80"/>
        <w:ind w:firstLine="397"/>
        <w:jc w:val="both"/>
        <w:bidi/>
      </w:pPr>
      <w:r>
        <w:t>الموضع: الصافات. محور المختبر: اختلاف المأثور وشبكة السورة.</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الشجرة في قصة آدم</w:t>
      </w:r>
    </w:p>
    <w:p>
      <w:pPr>
        <w:spacing w:line="283" w:lineRule="auto" w:after="80"/>
        <w:ind w:firstLine="397"/>
        <w:jc w:val="both"/>
        <w:bidi/>
      </w:pPr>
      <w:r>
        <w:t>الموضع: البقرة/الأعراف. محور المختبر: الإسرائيليات ووظيفة التفصيل.</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هاروت وماروت</w:t>
      </w:r>
    </w:p>
    <w:p>
      <w:pPr>
        <w:spacing w:line="283" w:lineRule="auto" w:after="80"/>
        <w:ind w:firstLine="397"/>
        <w:jc w:val="both"/>
        <w:bidi/>
      </w:pPr>
      <w:r>
        <w:t>الموضع: البقرة. محور المختبر: الروايات القصصية والمحكمات.</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قصة داود والخصمين</w:t>
      </w:r>
    </w:p>
    <w:p>
      <w:pPr>
        <w:spacing w:line="283" w:lineRule="auto" w:after="80"/>
        <w:ind w:firstLine="397"/>
        <w:jc w:val="both"/>
        <w:bidi/>
      </w:pPr>
      <w:r>
        <w:t>الموضع: ص. محور المختبر: الإسرائيليات ومقام النبوة.</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سليمان والجسد</w:t>
      </w:r>
    </w:p>
    <w:p>
      <w:pPr>
        <w:spacing w:line="283" w:lineRule="auto" w:after="80"/>
        <w:ind w:firstLine="397"/>
        <w:jc w:val="both"/>
        <w:bidi/>
      </w:pPr>
      <w:r>
        <w:t>الموضع: ص. محور المختبر: التفاصيل المروية وحدودها.</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العين الحمئة</w:t>
      </w:r>
    </w:p>
    <w:p>
      <w:pPr>
        <w:spacing w:line="283" w:lineRule="auto" w:after="80"/>
        <w:ind w:firstLine="397"/>
        <w:jc w:val="both"/>
        <w:bidi/>
      </w:pPr>
      <w:r>
        <w:t>الموضع: الكهف. محور المختبر: المأثور واللسان والكون.</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النسخ في آية النجوى</w:t>
      </w:r>
    </w:p>
    <w:p>
      <w:pPr>
        <w:spacing w:line="283" w:lineRule="auto" w:after="80"/>
        <w:ind w:firstLine="397"/>
        <w:jc w:val="both"/>
        <w:bidi/>
      </w:pPr>
      <w:r>
        <w:t>الموضع: المجادلة. محور المختبر: المأثور والتاريخ وشرط النسخ.</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آية الرجم المروية</w:t>
      </w:r>
    </w:p>
    <w:p>
      <w:pPr>
        <w:spacing w:line="283" w:lineRule="auto" w:after="80"/>
        <w:ind w:firstLine="397"/>
        <w:jc w:val="both"/>
        <w:bidi/>
      </w:pPr>
      <w:r>
        <w:t>الموضع: الحدود. محور المختبر: مأثور عالي الأثر وحفظ النص.</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pPr>
        <w:pStyle w:val="Heading2"/>
        <w:spacing w:line="283" w:lineRule="auto" w:after="120"/>
        <w:jc w:val="right"/>
        <w:keepNext/>
        <w:bidi/>
      </w:pPr>
      <w:r>
        <w:t>الحروف المقطعة</w:t>
      </w:r>
    </w:p>
    <w:p>
      <w:pPr>
        <w:spacing w:line="283" w:lineRule="auto" w:after="80"/>
        <w:ind w:firstLine="397"/>
        <w:jc w:val="both"/>
        <w:bidi/>
      </w:pPr>
      <w:r>
        <w:t>الموضع: فواتح السور. محور المختبر: كثرة الأقوال والتوقف المنهجي.</w:t>
      </w:r>
    </w:p>
    <w:p>
      <w:pPr>
        <w:pStyle w:val="Heading3"/>
        <w:spacing w:line="283" w:lineRule="auto" w:after="120"/>
        <w:jc w:val="right"/>
        <w:keepNext/>
        <w:bidi/>
      </w:pPr>
      <w:r>
        <w:t>تحرير الدعوى</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جمع المأثور</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تقويم الثبوت</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تصنيف الوظيفة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القراءة القرآنية المستقلة</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المقارنة والترجيح</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p>
      <w:pPr>
        <w:pStyle w:val="Heading3"/>
        <w:spacing w:line="283" w:lineRule="auto" w:after="120"/>
        <w:jc w:val="right"/>
        <w:keepNext/>
        <w:bidi/>
      </w:pPr>
      <w:r>
        <w:t>الحكم وحدوده</w:t>
      </w:r>
    </w:p>
    <w:p>
      <w:pPr>
        <w:spacing w:line="283" w:lineRule="auto" w:after="80"/>
        <w:ind w:firstLine="397"/>
        <w:jc w:val="both"/>
        <w:bidi/>
      </w:pPr>
      <w:r>
        <w:t>تُجمع الطرق والصيغ والأقوال المتقدمة والمتأخرة، ويُحدد هل المادة بيان نبوي أو قول صحابي أو قول تابعي أو إسرائيلية أو تفسير بالمثال أو تطبيق. ثم يُقارن أثرها بالسياق والسورة والمحكمات.</w:t>
      </w:r>
    </w:p>
    <w:p>
      <w:pPr>
        <w:spacing w:line="283" w:lineRule="auto" w:after="80"/>
        <w:ind w:firstLine="397"/>
        <w:jc w:val="both"/>
        <w:bidi/>
      </w:pPr>
      <w:r>
        <w:t>تُكتب فرضية تفسيرية لا تعتمد هذا المأثور، ثم تُقارن قدرتها على تفسير النص بفرضية المأثور. فإذا لم يضف المأثور معنىً ضرورياً بقي شاهداً تاريخياً، وإذا كشف مقاماً ثابتاً أُعطي وزنه، وإذا ناقض المحكم رُفضت دعواه.</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السؤال</w:t>
            </w:r>
          </w:p>
        </w:tc>
      </w:tr>
      <w:tr>
        <w:tc>
          <w:tcPr>
            <w:tcW w:type="dxa" w:w="3952"/>
            <w:vAlign w:val="center"/>
          </w:tcPr>
          <w:p>
            <w:pPr>
              <w:spacing w:line="283" w:lineRule="auto" w:after="0"/>
              <w:jc w:val="right"/>
              <w:bidi/>
            </w:pPr>
            <w:r>
              <w:rPr>
                <w:sz w:val="20"/>
              </w:rPr>
              <w:t>الطريق</w:t>
            </w:r>
          </w:p>
        </w:tc>
        <w:tc>
          <w:tcPr>
            <w:tcW w:type="dxa" w:w="3952"/>
            <w:vAlign w:val="center"/>
          </w:tcPr>
          <w:p>
            <w:pPr>
              <w:spacing w:line="283" w:lineRule="auto" w:after="0"/>
              <w:jc w:val="right"/>
              <w:bidi/>
            </w:pPr>
            <w:r>
              <w:rPr>
                <w:sz w:val="20"/>
              </w:rPr>
              <w:t>هل ثبتت النسبة؟</w:t>
            </w:r>
          </w:p>
        </w:tc>
      </w:tr>
      <w:tr>
        <w:tc>
          <w:tcPr>
            <w:tcW w:type="dxa" w:w="3952"/>
            <w:vAlign w:val="center"/>
          </w:tcPr>
          <w:p>
            <w:pPr>
              <w:spacing w:line="283" w:lineRule="auto" w:after="0"/>
              <w:jc w:val="right"/>
              <w:bidi/>
            </w:pPr>
            <w:r>
              <w:rPr>
                <w:sz w:val="20"/>
              </w:rPr>
              <w:t>الوظيفة</w:t>
            </w:r>
          </w:p>
        </w:tc>
        <w:tc>
          <w:tcPr>
            <w:tcW w:type="dxa" w:w="3952"/>
            <w:vAlign w:val="center"/>
          </w:tcPr>
          <w:p>
            <w:pPr>
              <w:spacing w:line="283" w:lineRule="auto" w:after="0"/>
              <w:jc w:val="right"/>
              <w:bidi/>
            </w:pPr>
            <w:r>
              <w:rPr>
                <w:sz w:val="20"/>
              </w:rPr>
              <w:t>ما نوع القول؟</w:t>
            </w:r>
          </w:p>
        </w:tc>
      </w:tr>
      <w:tr>
        <w:tc>
          <w:tcPr>
            <w:tcW w:type="dxa" w:w="3952"/>
            <w:vAlign w:val="center"/>
          </w:tcPr>
          <w:p>
            <w:pPr>
              <w:spacing w:line="283" w:lineRule="auto" w:after="0"/>
              <w:jc w:val="right"/>
              <w:bidi/>
            </w:pPr>
            <w:r>
              <w:rPr>
                <w:sz w:val="20"/>
              </w:rPr>
              <w:t>السياق</w:t>
            </w:r>
          </w:p>
        </w:tc>
        <w:tc>
          <w:tcPr>
            <w:tcW w:type="dxa" w:w="3952"/>
            <w:vAlign w:val="center"/>
          </w:tcPr>
          <w:p>
            <w:pPr>
              <w:spacing w:line="283" w:lineRule="auto" w:after="0"/>
              <w:jc w:val="right"/>
              <w:bidi/>
            </w:pPr>
            <w:r>
              <w:rPr>
                <w:sz w:val="20"/>
              </w:rPr>
              <w:t>هل ينسجم مع موضع الآية؟</w:t>
            </w:r>
          </w:p>
        </w:tc>
      </w:tr>
      <w:tr>
        <w:tc>
          <w:tcPr>
            <w:tcW w:type="dxa" w:w="3952"/>
            <w:vAlign w:val="center"/>
          </w:tcPr>
          <w:p>
            <w:pPr>
              <w:spacing w:line="283" w:lineRule="auto" w:after="0"/>
              <w:jc w:val="right"/>
              <w:bidi/>
            </w:pPr>
            <w:r>
              <w:rPr>
                <w:sz w:val="20"/>
              </w:rPr>
              <w:t>الحجية</w:t>
            </w:r>
          </w:p>
        </w:tc>
        <w:tc>
          <w:tcPr>
            <w:tcW w:type="dxa" w:w="3952"/>
            <w:vAlign w:val="center"/>
          </w:tcPr>
          <w:p>
            <w:pPr>
              <w:spacing w:line="283" w:lineRule="auto" w:after="0"/>
              <w:jc w:val="right"/>
              <w:bidi/>
            </w:pPr>
            <w:r>
              <w:rPr>
                <w:sz w:val="20"/>
              </w:rPr>
              <w:t>ما مقدار أثره؟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هل يفهم النص بدونه؟</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درجة وحدود</w:t>
            </w:r>
          </w:p>
        </w:tc>
      </w:tr>
    </w:tbl>
    <w:p/>
    <w:p>
      <w:r>
        <w:br w:type="page"/>
      </w:r>
    </w:p>
    <w:p>
      <w:pPr>
        <w:pStyle w:val="Heading1"/>
        <w:spacing w:line="283" w:lineRule="auto" w:after="120"/>
        <w:jc w:val="right"/>
        <w:keepNext/>
        <w:bidi/>
      </w:pPr>
      <w:r>
        <w:t>القسم التركيبي السابع: الخوارزمية النهائية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المرحلة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تحرير السؤال التفسيري</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تحديد الدعوى المنقولة</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جمع جميع مصادر المأثور</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توحيد الطرق والألفاظ</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تمييز جهة النسبة</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تقويم الإسناد أو مصدر النقل</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تحليل المتن والفروق</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تصنيف الوظيفة</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فحص احتمال المصداق أو المثال</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فحص الإسرائيليات ومصادرها</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بناء السياق الداخلي للآية</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جمع المحكمات والتصريف</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فحص القراءات والوقف إن أثرا</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جمع الأقوال المبكرة المنافسة</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بناء قراءة مستقلة عن المأثور</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مقارنة القدرة التفسيرية</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تحديد درجة الحجية</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صياغة النتيجة والحدود</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مراجعة مستقلة</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اعتماد الإصدار أو التوقف</w:t>
            </w:r>
          </w:p>
        </w:tc>
      </w:tr>
    </w:tbl>
    <w:p/>
    <w:p>
      <w:pPr>
        <w:spacing w:line="283" w:lineRule="auto" w:after="80"/>
        <w:ind w:firstLine="397"/>
        <w:jc w:val="both"/>
        <w:bidi/>
      </w:pPr>
      <w:r>
        <w:t>المرحلة 1: تحرير السؤال التفسيري.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2: تحديد الدعوى المنقولة.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3: جمع جميع مصادر المأثور.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4: توحيد الطرق والألفاظ.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5: تمييز جهة النسبة.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6: تقويم الإسناد أو مصدر النقل.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7: تحليل المتن والفروق.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8: تصنيف الوظيفة.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9: فحص احتمال المصداق أو المثال.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10: فحص الإسرائيليات ومصادرها.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11: بناء السياق الداخلي للآية.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12: جمع المحكمات والتصريف.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13: فحص القراءات والوقف إن أثرا.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14: جمع الأقوال المبكرة المنافسة.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15: بناء قراءة مستقلة عن المأثور.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16: مقارنة القدرة التفسيرية.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17: تحديد درجة الحجية.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18: صياغة النتيجة والحدود.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19: مراجعة مستقلة. لا يُنتقل منها إلى ما بعدها إذا كان النقص جوهرياً في هوية المصدر أو جهة النسبة أو نوع الوظيفة؛ لأن الخطأ المبكر يتضاعف في الترجيح النهائي.</w:t>
      </w:r>
    </w:p>
    <w:p>
      <w:pPr>
        <w:spacing w:line="283" w:lineRule="auto" w:after="80"/>
        <w:ind w:firstLine="397"/>
        <w:jc w:val="both"/>
        <w:bidi/>
      </w:pPr>
      <w:r>
        <w:t>المرحلة 20: اعتماد الإصدار أو التوقف. لا يُنتقل منها إلى ما بعدها إذا كان النقص جوهرياً في هوية المصدر أو جهة النسبة أو نوع الوظيفة؛ لأن الخطأ المبكر يتضاعف في الترجيح النهائي.</w:t>
      </w:r>
    </w:p>
    <w:p>
      <w:r>
        <w:br w:type="page"/>
      </w:r>
    </w:p>
    <w:p>
      <w:pPr>
        <w:pStyle w:val="Heading1"/>
        <w:spacing w:line="283" w:lineRule="auto" w:after="120"/>
        <w:jc w:val="right"/>
        <w:keepNext/>
        <w:bidi/>
      </w:pPr>
      <w:r>
        <w:t>القسم التركيبي الثامن: المصفوفة الحاسوبية للمأثور</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وظيفته</w:t>
            </w:r>
          </w:p>
        </w:tc>
      </w:tr>
      <w:tr>
        <w:tc>
          <w:tcPr>
            <w:tcW w:type="dxa" w:w="3952"/>
            <w:vAlign w:val="center"/>
          </w:tcPr>
          <w:p>
            <w:pPr>
              <w:spacing w:line="283" w:lineRule="auto" w:after="0"/>
              <w:jc w:val="right"/>
              <w:bidi/>
            </w:pPr>
            <w:r>
              <w:rPr>
                <w:sz w:val="18"/>
              </w:rPr>
              <w:t>report_id</w:t>
            </w:r>
          </w:p>
        </w:tc>
        <w:tc>
          <w:tcPr>
            <w:tcW w:type="dxa" w:w="3952"/>
            <w:vAlign w:val="center"/>
          </w:tcPr>
          <w:p>
            <w:pPr>
              <w:spacing w:line="283" w:lineRule="auto" w:after="0"/>
              <w:jc w:val="right"/>
              <w:bidi/>
            </w:pPr>
            <w:r>
              <w:rPr>
                <w:sz w:val="18"/>
              </w:rPr>
              <w:t>معرف الرواية أو القول</w:t>
            </w:r>
          </w:p>
        </w:tc>
      </w:tr>
      <w:tr>
        <w:tc>
          <w:tcPr>
            <w:tcW w:type="dxa" w:w="3952"/>
            <w:vAlign w:val="center"/>
          </w:tcPr>
          <w:p>
            <w:pPr>
              <w:spacing w:line="283" w:lineRule="auto" w:after="0"/>
              <w:jc w:val="right"/>
              <w:bidi/>
            </w:pPr>
            <w:r>
              <w:rPr>
                <w:sz w:val="18"/>
              </w:rPr>
              <w:t>ayah_id</w:t>
            </w:r>
          </w:p>
        </w:tc>
        <w:tc>
          <w:tcPr>
            <w:tcW w:type="dxa" w:w="3952"/>
            <w:vAlign w:val="center"/>
          </w:tcPr>
          <w:p>
            <w:pPr>
              <w:spacing w:line="283" w:lineRule="auto" w:after="0"/>
              <w:jc w:val="right"/>
              <w:bidi/>
            </w:pPr>
            <w:r>
              <w:rPr>
                <w:sz w:val="18"/>
              </w:rPr>
              <w:t>الآية أو المقطع</w:t>
            </w:r>
          </w:p>
        </w:tc>
      </w:tr>
      <w:tr>
        <w:tc>
          <w:tcPr>
            <w:tcW w:type="dxa" w:w="3952"/>
            <w:vAlign w:val="center"/>
          </w:tcPr>
          <w:p>
            <w:pPr>
              <w:spacing w:line="283" w:lineRule="auto" w:after="0"/>
              <w:jc w:val="right"/>
              <w:bidi/>
            </w:pPr>
            <w:r>
              <w:rPr>
                <w:sz w:val="18"/>
              </w:rPr>
              <w:t>attribution</w:t>
            </w:r>
          </w:p>
        </w:tc>
        <w:tc>
          <w:tcPr>
            <w:tcW w:type="dxa" w:w="3952"/>
            <w:vAlign w:val="center"/>
          </w:tcPr>
          <w:p>
            <w:pPr>
              <w:spacing w:line="283" w:lineRule="auto" w:after="0"/>
              <w:jc w:val="right"/>
              <w:bidi/>
            </w:pPr>
            <w:r>
              <w:rPr>
                <w:sz w:val="18"/>
              </w:rPr>
              <w:t>جهة النسبة</w:t>
            </w:r>
          </w:p>
        </w:tc>
      </w:tr>
      <w:tr>
        <w:tc>
          <w:tcPr>
            <w:tcW w:type="dxa" w:w="3952"/>
            <w:vAlign w:val="center"/>
          </w:tcPr>
          <w:p>
            <w:pPr>
              <w:spacing w:line="283" w:lineRule="auto" w:after="0"/>
              <w:jc w:val="right"/>
              <w:bidi/>
            </w:pPr>
            <w:r>
              <w:rPr>
                <w:sz w:val="18"/>
              </w:rPr>
              <w:t>source</w:t>
            </w:r>
          </w:p>
        </w:tc>
        <w:tc>
          <w:tcPr>
            <w:tcW w:type="dxa" w:w="3952"/>
            <w:vAlign w:val="center"/>
          </w:tcPr>
          <w:p>
            <w:pPr>
              <w:spacing w:line="283" w:lineRule="auto" w:after="0"/>
              <w:jc w:val="right"/>
              <w:bidi/>
            </w:pPr>
            <w:r>
              <w:rPr>
                <w:sz w:val="18"/>
              </w:rPr>
              <w:t>المصدر المبكر</w:t>
            </w:r>
          </w:p>
        </w:tc>
      </w:tr>
      <w:tr>
        <w:tc>
          <w:tcPr>
            <w:tcW w:type="dxa" w:w="3952"/>
            <w:vAlign w:val="center"/>
          </w:tcPr>
          <w:p>
            <w:pPr>
              <w:spacing w:line="283" w:lineRule="auto" w:after="0"/>
              <w:jc w:val="right"/>
              <w:bidi/>
            </w:pPr>
            <w:r>
              <w:rPr>
                <w:sz w:val="18"/>
              </w:rPr>
              <w:t>isnad</w:t>
            </w:r>
          </w:p>
        </w:tc>
        <w:tc>
          <w:tcPr>
            <w:tcW w:type="dxa" w:w="3952"/>
            <w:vAlign w:val="center"/>
          </w:tcPr>
          <w:p>
            <w:pPr>
              <w:spacing w:line="283" w:lineRule="auto" w:after="0"/>
              <w:jc w:val="right"/>
              <w:bidi/>
            </w:pPr>
            <w:r>
              <w:rPr>
                <w:sz w:val="18"/>
              </w:rPr>
              <w:t>سلسلة النقل إن وجدت</w:t>
            </w:r>
          </w:p>
        </w:tc>
      </w:tr>
      <w:tr>
        <w:tc>
          <w:tcPr>
            <w:tcW w:type="dxa" w:w="3952"/>
            <w:vAlign w:val="center"/>
          </w:tcPr>
          <w:p>
            <w:pPr>
              <w:spacing w:line="283" w:lineRule="auto" w:after="0"/>
              <w:jc w:val="right"/>
              <w:bidi/>
            </w:pPr>
            <w:r>
              <w:rPr>
                <w:sz w:val="18"/>
              </w:rPr>
              <w:t>wording</w:t>
            </w:r>
          </w:p>
        </w:tc>
        <w:tc>
          <w:tcPr>
            <w:tcW w:type="dxa" w:w="3952"/>
            <w:vAlign w:val="center"/>
          </w:tcPr>
          <w:p>
            <w:pPr>
              <w:spacing w:line="283" w:lineRule="auto" w:after="0"/>
              <w:jc w:val="right"/>
              <w:bidi/>
            </w:pPr>
            <w:r>
              <w:rPr>
                <w:sz w:val="18"/>
              </w:rPr>
              <w:t>اللفظ</w:t>
            </w:r>
          </w:p>
        </w:tc>
      </w:tr>
      <w:tr>
        <w:tc>
          <w:tcPr>
            <w:tcW w:type="dxa" w:w="3952"/>
            <w:vAlign w:val="center"/>
          </w:tcPr>
          <w:p>
            <w:pPr>
              <w:spacing w:line="283" w:lineRule="auto" w:after="0"/>
              <w:jc w:val="right"/>
              <w:bidi/>
            </w:pPr>
            <w:r>
              <w:rPr>
                <w:sz w:val="18"/>
              </w:rPr>
              <w:t>variant</w:t>
            </w:r>
          </w:p>
        </w:tc>
        <w:tc>
          <w:tcPr>
            <w:tcW w:type="dxa" w:w="3952"/>
            <w:vAlign w:val="center"/>
          </w:tcPr>
          <w:p>
            <w:pPr>
              <w:spacing w:line="283" w:lineRule="auto" w:after="0"/>
              <w:jc w:val="right"/>
              <w:bidi/>
            </w:pPr>
            <w:r>
              <w:rPr>
                <w:sz w:val="18"/>
              </w:rPr>
              <w:t>الفروق النصية</w:t>
            </w:r>
          </w:p>
        </w:tc>
      </w:tr>
      <w:tr>
        <w:tc>
          <w:tcPr>
            <w:tcW w:type="dxa" w:w="3952"/>
            <w:vAlign w:val="center"/>
          </w:tcPr>
          <w:p>
            <w:pPr>
              <w:spacing w:line="283" w:lineRule="auto" w:after="0"/>
              <w:jc w:val="right"/>
              <w:bidi/>
            </w:pPr>
            <w:r>
              <w:rPr>
                <w:sz w:val="18"/>
              </w:rPr>
              <w:t>date_layer</w:t>
            </w:r>
          </w:p>
        </w:tc>
        <w:tc>
          <w:tcPr>
            <w:tcW w:type="dxa" w:w="3952"/>
            <w:vAlign w:val="center"/>
          </w:tcPr>
          <w:p>
            <w:pPr>
              <w:spacing w:line="283" w:lineRule="auto" w:after="0"/>
              <w:jc w:val="right"/>
              <w:bidi/>
            </w:pPr>
            <w:r>
              <w:rPr>
                <w:sz w:val="18"/>
              </w:rPr>
              <w:t>الطبقة الزمنية</w:t>
            </w:r>
          </w:p>
        </w:tc>
      </w:tr>
      <w:tr>
        <w:tc>
          <w:tcPr>
            <w:tcW w:type="dxa" w:w="3952"/>
            <w:vAlign w:val="center"/>
          </w:tcPr>
          <w:p>
            <w:pPr>
              <w:spacing w:line="283" w:lineRule="auto" w:after="0"/>
              <w:jc w:val="right"/>
              <w:bidi/>
            </w:pPr>
            <w:r>
              <w:rPr>
                <w:sz w:val="18"/>
              </w:rPr>
              <w:t>location_school</w:t>
            </w:r>
          </w:p>
        </w:tc>
        <w:tc>
          <w:tcPr>
            <w:tcW w:type="dxa" w:w="3952"/>
            <w:vAlign w:val="center"/>
          </w:tcPr>
          <w:p>
            <w:pPr>
              <w:spacing w:line="283" w:lineRule="auto" w:after="0"/>
              <w:jc w:val="right"/>
              <w:bidi/>
            </w:pPr>
            <w:r>
              <w:rPr>
                <w:sz w:val="18"/>
              </w:rPr>
              <w:t>المكان أو المدرسة</w:t>
            </w:r>
          </w:p>
        </w:tc>
      </w:tr>
      <w:tr>
        <w:tc>
          <w:tcPr>
            <w:tcW w:type="dxa" w:w="3952"/>
            <w:vAlign w:val="center"/>
          </w:tcPr>
          <w:p>
            <w:pPr>
              <w:spacing w:line="283" w:lineRule="auto" w:after="0"/>
              <w:jc w:val="right"/>
              <w:bidi/>
            </w:pPr>
            <w:r>
              <w:rPr>
                <w:sz w:val="18"/>
              </w:rPr>
              <w:t>function_type</w:t>
            </w:r>
          </w:p>
        </w:tc>
        <w:tc>
          <w:tcPr>
            <w:tcW w:type="dxa" w:w="3952"/>
            <w:vAlign w:val="center"/>
          </w:tcPr>
          <w:p>
            <w:pPr>
              <w:spacing w:line="283" w:lineRule="auto" w:after="0"/>
              <w:jc w:val="right"/>
              <w:bidi/>
            </w:pPr>
            <w:r>
              <w:rPr>
                <w:sz w:val="18"/>
              </w:rPr>
              <w:t>نوع الوظيفة</w:t>
            </w:r>
          </w:p>
        </w:tc>
      </w:tr>
      <w:tr>
        <w:tc>
          <w:tcPr>
            <w:tcW w:type="dxa" w:w="3952"/>
            <w:vAlign w:val="center"/>
          </w:tcPr>
          <w:p>
            <w:pPr>
              <w:spacing w:line="283" w:lineRule="auto" w:after="0"/>
              <w:jc w:val="right"/>
              <w:bidi/>
            </w:pPr>
            <w:r>
              <w:rPr>
                <w:sz w:val="18"/>
              </w:rPr>
              <w:t>asbab_claim</w:t>
            </w:r>
          </w:p>
        </w:tc>
        <w:tc>
          <w:tcPr>
            <w:tcW w:type="dxa" w:w="3952"/>
            <w:vAlign w:val="center"/>
          </w:tcPr>
          <w:p>
            <w:pPr>
              <w:spacing w:line="283" w:lineRule="auto" w:after="0"/>
              <w:jc w:val="right"/>
              <w:bidi/>
            </w:pPr>
            <w:r>
              <w:rPr>
                <w:sz w:val="18"/>
              </w:rPr>
              <w:t>دعوى سبب النزول</w:t>
            </w:r>
          </w:p>
        </w:tc>
      </w:tr>
      <w:tr>
        <w:tc>
          <w:tcPr>
            <w:tcW w:type="dxa" w:w="3952"/>
            <w:vAlign w:val="center"/>
          </w:tcPr>
          <w:p>
            <w:pPr>
              <w:spacing w:line="283" w:lineRule="auto" w:after="0"/>
              <w:jc w:val="right"/>
              <w:bidi/>
            </w:pPr>
            <w:r>
              <w:rPr>
                <w:sz w:val="18"/>
              </w:rPr>
              <w:t>israiliyyat_flag</w:t>
            </w:r>
          </w:p>
        </w:tc>
        <w:tc>
          <w:tcPr>
            <w:tcW w:type="dxa" w:w="3952"/>
            <w:vAlign w:val="center"/>
          </w:tcPr>
          <w:p>
            <w:pPr>
              <w:spacing w:line="283" w:lineRule="auto" w:after="0"/>
              <w:jc w:val="right"/>
              <w:bidi/>
            </w:pPr>
            <w:r>
              <w:rPr>
                <w:sz w:val="18"/>
              </w:rPr>
              <w:t>صلة محتملة بالإسرائيليات</w:t>
            </w:r>
          </w:p>
        </w:tc>
      </w:tr>
      <w:tr>
        <w:tc>
          <w:tcPr>
            <w:tcW w:type="dxa" w:w="3952"/>
            <w:vAlign w:val="center"/>
          </w:tcPr>
          <w:p>
            <w:pPr>
              <w:spacing w:line="283" w:lineRule="auto" w:after="0"/>
              <w:jc w:val="right"/>
              <w:bidi/>
            </w:pPr>
            <w:r>
              <w:rPr>
                <w:sz w:val="18"/>
              </w:rPr>
              <w:t>internal_context</w:t>
            </w:r>
          </w:p>
        </w:tc>
        <w:tc>
          <w:tcPr>
            <w:tcW w:type="dxa" w:w="3952"/>
            <w:vAlign w:val="center"/>
          </w:tcPr>
          <w:p>
            <w:pPr>
              <w:spacing w:line="283" w:lineRule="auto" w:after="0"/>
              <w:jc w:val="right"/>
              <w:bidi/>
            </w:pPr>
            <w:r>
              <w:rPr>
                <w:sz w:val="18"/>
              </w:rPr>
              <w:t>السياق الداخلي</w:t>
            </w:r>
          </w:p>
        </w:tc>
      </w:tr>
      <w:tr>
        <w:tc>
          <w:tcPr>
            <w:tcW w:type="dxa" w:w="3952"/>
            <w:vAlign w:val="center"/>
          </w:tcPr>
          <w:p>
            <w:pPr>
              <w:spacing w:line="283" w:lineRule="auto" w:after="0"/>
              <w:jc w:val="right"/>
              <w:bidi/>
            </w:pPr>
            <w:r>
              <w:rPr>
                <w:sz w:val="18"/>
              </w:rPr>
              <w:t>quran_network</w:t>
            </w:r>
          </w:p>
        </w:tc>
        <w:tc>
          <w:tcPr>
            <w:tcW w:type="dxa" w:w="3952"/>
            <w:vAlign w:val="center"/>
          </w:tcPr>
          <w:p>
            <w:pPr>
              <w:spacing w:line="283" w:lineRule="auto" w:after="0"/>
              <w:jc w:val="right"/>
              <w:bidi/>
            </w:pPr>
            <w:r>
              <w:rPr>
                <w:sz w:val="18"/>
              </w:rPr>
              <w:t>المحكمات والتصريف</w:t>
            </w:r>
          </w:p>
        </w:tc>
      </w:tr>
      <w:tr>
        <w:tc>
          <w:tcPr>
            <w:tcW w:type="dxa" w:w="3952"/>
            <w:vAlign w:val="center"/>
          </w:tcPr>
          <w:p>
            <w:pPr>
              <w:spacing w:line="283" w:lineRule="auto" w:after="0"/>
              <w:jc w:val="right"/>
              <w:bidi/>
            </w:pPr>
            <w:r>
              <w:rPr>
                <w:sz w:val="18"/>
              </w:rPr>
              <w:t>competing_report</w:t>
            </w:r>
          </w:p>
        </w:tc>
        <w:tc>
          <w:tcPr>
            <w:tcW w:type="dxa" w:w="3952"/>
            <w:vAlign w:val="center"/>
          </w:tcPr>
          <w:p>
            <w:pPr>
              <w:spacing w:line="283" w:lineRule="auto" w:after="0"/>
              <w:jc w:val="right"/>
              <w:bidi/>
            </w:pPr>
            <w:r>
              <w:rPr>
                <w:sz w:val="18"/>
              </w:rPr>
              <w:t>المأثور المنافس</w:t>
            </w:r>
          </w:p>
        </w:tc>
      </w:tr>
      <w:tr>
        <w:tc>
          <w:tcPr>
            <w:tcW w:type="dxa" w:w="3952"/>
            <w:vAlign w:val="center"/>
          </w:tcPr>
          <w:p>
            <w:pPr>
              <w:spacing w:line="283" w:lineRule="auto" w:after="0"/>
              <w:jc w:val="right"/>
              <w:bidi/>
            </w:pPr>
            <w:r>
              <w:rPr>
                <w:sz w:val="18"/>
              </w:rPr>
              <w:t>independent_reading</w:t>
            </w:r>
          </w:p>
        </w:tc>
        <w:tc>
          <w:tcPr>
            <w:tcW w:type="dxa" w:w="3952"/>
            <w:vAlign w:val="center"/>
          </w:tcPr>
          <w:p>
            <w:pPr>
              <w:spacing w:line="283" w:lineRule="auto" w:after="0"/>
              <w:jc w:val="right"/>
              <w:bidi/>
            </w:pPr>
            <w:r>
              <w:rPr>
                <w:sz w:val="18"/>
              </w:rPr>
              <w:t>قراءة لا تعتمد المأثور</w:t>
            </w:r>
          </w:p>
        </w:tc>
      </w:tr>
      <w:tr>
        <w:tc>
          <w:tcPr>
            <w:tcW w:type="dxa" w:w="3952"/>
            <w:vAlign w:val="center"/>
          </w:tcPr>
          <w:p>
            <w:pPr>
              <w:spacing w:line="283" w:lineRule="auto" w:after="0"/>
              <w:jc w:val="right"/>
              <w:bidi/>
            </w:pPr>
            <w:r>
              <w:rPr>
                <w:sz w:val="18"/>
              </w:rPr>
              <w:t>reliability</w:t>
            </w:r>
          </w:p>
        </w:tc>
        <w:tc>
          <w:tcPr>
            <w:tcW w:type="dxa" w:w="3952"/>
            <w:vAlign w:val="center"/>
          </w:tcPr>
          <w:p>
            <w:pPr>
              <w:spacing w:line="283" w:lineRule="auto" w:after="0"/>
              <w:jc w:val="right"/>
              <w:bidi/>
            </w:pPr>
            <w:r>
              <w:rPr>
                <w:sz w:val="18"/>
              </w:rPr>
              <w:t>درجة الثبوت</w:t>
            </w:r>
          </w:p>
        </w:tc>
      </w:tr>
      <w:tr>
        <w:tc>
          <w:tcPr>
            <w:tcW w:type="dxa" w:w="3952"/>
            <w:vAlign w:val="center"/>
          </w:tcPr>
          <w:p>
            <w:pPr>
              <w:spacing w:line="283" w:lineRule="auto" w:after="0"/>
              <w:jc w:val="right"/>
              <w:bidi/>
            </w:pPr>
            <w:r>
              <w:rPr>
                <w:sz w:val="18"/>
              </w:rPr>
              <w:t>authority</w:t>
            </w:r>
          </w:p>
        </w:tc>
        <w:tc>
          <w:tcPr>
            <w:tcW w:type="dxa" w:w="3952"/>
            <w:vAlign w:val="center"/>
          </w:tcPr>
          <w:p>
            <w:pPr>
              <w:spacing w:line="283" w:lineRule="auto" w:after="0"/>
              <w:jc w:val="right"/>
              <w:bidi/>
            </w:pPr>
            <w:r>
              <w:rPr>
                <w:sz w:val="18"/>
              </w:rPr>
              <w:t>درجة الحجية</w:t>
            </w:r>
          </w:p>
        </w:tc>
      </w:tr>
      <w:tr>
        <w:tc>
          <w:tcPr>
            <w:tcW w:type="dxa" w:w="3952"/>
            <w:vAlign w:val="center"/>
          </w:tcPr>
          <w:p>
            <w:pPr>
              <w:spacing w:line="283" w:lineRule="auto" w:after="0"/>
              <w:jc w:val="right"/>
              <w:bidi/>
            </w:pPr>
            <w:r>
              <w:rPr>
                <w:sz w:val="18"/>
              </w:rPr>
              <w:t>decision</w:t>
            </w:r>
          </w:p>
        </w:tc>
        <w:tc>
          <w:tcPr>
            <w:tcW w:type="dxa" w:w="3952"/>
            <w:vAlign w:val="center"/>
          </w:tcPr>
          <w:p>
            <w:pPr>
              <w:spacing w:line="283" w:lineRule="auto" w:after="0"/>
              <w:jc w:val="right"/>
              <w:bidi/>
            </w:pPr>
            <w:r>
              <w:rPr>
                <w:sz w:val="18"/>
              </w:rPr>
              <w:t>الحكم</w:t>
            </w:r>
          </w:p>
        </w:tc>
      </w:tr>
      <w:tr>
        <w:tc>
          <w:tcPr>
            <w:tcW w:type="dxa" w:w="3952"/>
            <w:vAlign w:val="center"/>
          </w:tcPr>
          <w:p>
            <w:pPr>
              <w:spacing w:line="283" w:lineRule="auto" w:after="0"/>
              <w:jc w:val="right"/>
              <w:bidi/>
            </w:pPr>
            <w:r>
              <w:rPr>
                <w:sz w:val="18"/>
              </w:rPr>
              <w:t>reviewer</w:t>
            </w:r>
          </w:p>
        </w:tc>
        <w:tc>
          <w:tcPr>
            <w:tcW w:type="dxa" w:w="3952"/>
            <w:vAlign w:val="center"/>
          </w:tcPr>
          <w:p>
            <w:pPr>
              <w:spacing w:line="283" w:lineRule="auto" w:after="0"/>
              <w:jc w:val="right"/>
              <w:bidi/>
            </w:pPr>
            <w:r>
              <w:rPr>
                <w:sz w:val="18"/>
              </w:rPr>
              <w:t>المراجع</w:t>
            </w:r>
          </w:p>
        </w:tc>
      </w:tr>
      <w:tr>
        <w:tc>
          <w:tcPr>
            <w:tcW w:type="dxa" w:w="3952"/>
            <w:vAlign w:val="center"/>
          </w:tcPr>
          <w:p>
            <w:pPr>
              <w:spacing w:line="283" w:lineRule="auto" w:after="0"/>
              <w:jc w:val="right"/>
              <w:bidi/>
            </w:pPr>
            <w:r>
              <w:rPr>
                <w:sz w:val="18"/>
              </w:rPr>
              <w:t>version</w:t>
            </w:r>
          </w:p>
        </w:tc>
        <w:tc>
          <w:tcPr>
            <w:tcW w:type="dxa" w:w="3952"/>
            <w:vAlign w:val="center"/>
          </w:tcPr>
          <w:p>
            <w:pPr>
              <w:spacing w:line="283" w:lineRule="auto" w:after="0"/>
              <w:jc w:val="right"/>
              <w:bidi/>
            </w:pPr>
            <w:r>
              <w:rPr>
                <w:sz w:val="18"/>
              </w:rPr>
              <w:t>الإصدار</w:t>
            </w:r>
          </w:p>
        </w:tc>
      </w:tr>
    </w:tbl>
    <w:p/>
    <w:p>
      <w:pPr>
        <w:spacing w:line="283" w:lineRule="auto" w:after="80"/>
        <w:ind w:firstLine="397"/>
        <w:jc w:val="both"/>
        <w:bidi/>
      </w:pPr>
      <w:r>
        <w:t>report_id: معرف الرواية أو القول ويُحفظ مستقلاً حتى يمكن إعادة بناء الحكم ومعرفة أين نشأ الاختلاف بين الباحثين.</w:t>
      </w:r>
    </w:p>
    <w:p>
      <w:pPr>
        <w:spacing w:line="283" w:lineRule="auto" w:after="80"/>
        <w:ind w:firstLine="397"/>
        <w:jc w:val="both"/>
        <w:bidi/>
      </w:pPr>
      <w:r>
        <w:t>ayah_id: الآية أو المقطع ويُحفظ مستقلاً حتى يمكن إعادة بناء الحكم ومعرفة أين نشأ الاختلاف بين الباحثين.</w:t>
      </w:r>
    </w:p>
    <w:p>
      <w:pPr>
        <w:spacing w:line="283" w:lineRule="auto" w:after="80"/>
        <w:ind w:firstLine="397"/>
        <w:jc w:val="both"/>
        <w:bidi/>
      </w:pPr>
      <w:r>
        <w:t>attribution: جهة النسبة ويُحفظ مستقلاً حتى يمكن إعادة بناء الحكم ومعرفة أين نشأ الاختلاف بين الباحثين.</w:t>
      </w:r>
    </w:p>
    <w:p>
      <w:pPr>
        <w:spacing w:line="283" w:lineRule="auto" w:after="80"/>
        <w:ind w:firstLine="397"/>
        <w:jc w:val="both"/>
        <w:bidi/>
      </w:pPr>
      <w:r>
        <w:t>source: المصدر المبكر ويُحفظ مستقلاً حتى يمكن إعادة بناء الحكم ومعرفة أين نشأ الاختلاف بين الباحثين.</w:t>
      </w:r>
    </w:p>
    <w:p>
      <w:pPr>
        <w:spacing w:line="283" w:lineRule="auto" w:after="80"/>
        <w:ind w:firstLine="397"/>
        <w:jc w:val="both"/>
        <w:bidi/>
      </w:pPr>
      <w:r>
        <w:t>isnad: سلسلة النقل إن وجدت ويُحفظ مستقلاً حتى يمكن إعادة بناء الحكم ومعرفة أين نشأ الاختلاف بين الباحثين.</w:t>
      </w:r>
    </w:p>
    <w:p>
      <w:pPr>
        <w:spacing w:line="283" w:lineRule="auto" w:after="80"/>
        <w:ind w:firstLine="397"/>
        <w:jc w:val="both"/>
        <w:bidi/>
      </w:pPr>
      <w:r>
        <w:t>wording: اللفظ ويُحفظ مستقلاً حتى يمكن إعادة بناء الحكم ومعرفة أين نشأ الاختلاف بين الباحثين.</w:t>
      </w:r>
    </w:p>
    <w:p>
      <w:pPr>
        <w:spacing w:line="283" w:lineRule="auto" w:after="80"/>
        <w:ind w:firstLine="397"/>
        <w:jc w:val="both"/>
        <w:bidi/>
      </w:pPr>
      <w:r>
        <w:t>variant: الفروق النصية ويُحفظ مستقلاً حتى يمكن إعادة بناء الحكم ومعرفة أين نشأ الاختلاف بين الباحثين.</w:t>
      </w:r>
    </w:p>
    <w:p>
      <w:pPr>
        <w:spacing w:line="283" w:lineRule="auto" w:after="80"/>
        <w:ind w:firstLine="397"/>
        <w:jc w:val="both"/>
        <w:bidi/>
      </w:pPr>
      <w:r>
        <w:t>date_layer: الطبقة الزمنية ويُحفظ مستقلاً حتى يمكن إعادة بناء الحكم ومعرفة أين نشأ الاختلاف بين الباحثين.</w:t>
      </w:r>
    </w:p>
    <w:p>
      <w:pPr>
        <w:spacing w:line="283" w:lineRule="auto" w:after="80"/>
        <w:ind w:firstLine="397"/>
        <w:jc w:val="both"/>
        <w:bidi/>
      </w:pPr>
      <w:r>
        <w:t>location_school: المكان أو المدرسة ويُحفظ مستقلاً حتى يمكن إعادة بناء الحكم ومعرفة أين نشأ الاختلاف بين الباحثين.</w:t>
      </w:r>
    </w:p>
    <w:p>
      <w:pPr>
        <w:spacing w:line="283" w:lineRule="auto" w:after="80"/>
        <w:ind w:firstLine="397"/>
        <w:jc w:val="both"/>
        <w:bidi/>
      </w:pPr>
      <w:r>
        <w:t>function_type: نوع الوظيفة ويُحفظ مستقلاً حتى يمكن إعادة بناء الحكم ومعرفة أين نشأ الاختلاف بين الباحثين.</w:t>
      </w:r>
    </w:p>
    <w:p>
      <w:pPr>
        <w:spacing w:line="283" w:lineRule="auto" w:after="80"/>
        <w:ind w:firstLine="397"/>
        <w:jc w:val="both"/>
        <w:bidi/>
      </w:pPr>
      <w:r>
        <w:t>asbab_claim: دعوى سبب النزول ويُحفظ مستقلاً حتى يمكن إعادة بناء الحكم ومعرفة أين نشأ الاختلاف بين الباحثين.</w:t>
      </w:r>
    </w:p>
    <w:p>
      <w:pPr>
        <w:spacing w:line="283" w:lineRule="auto" w:after="80"/>
        <w:ind w:firstLine="397"/>
        <w:jc w:val="both"/>
        <w:bidi/>
      </w:pPr>
      <w:r>
        <w:t>israiliyyat_flag: صلة محتملة بالإسرائيليات ويُحفظ مستقلاً حتى يمكن إعادة بناء الحكم ومعرفة أين نشأ الاختلاف بين الباحثين.</w:t>
      </w:r>
    </w:p>
    <w:p>
      <w:pPr>
        <w:spacing w:line="283" w:lineRule="auto" w:after="80"/>
        <w:ind w:firstLine="397"/>
        <w:jc w:val="both"/>
        <w:bidi/>
      </w:pPr>
      <w:r>
        <w:t>internal_context: السياق الداخلي ويُحفظ مستقلاً حتى يمكن إعادة بناء الحكم ومعرفة أين نشأ الاختلاف بين الباحثين.</w:t>
      </w:r>
    </w:p>
    <w:p>
      <w:pPr>
        <w:spacing w:line="283" w:lineRule="auto" w:after="80"/>
        <w:ind w:firstLine="397"/>
        <w:jc w:val="both"/>
        <w:bidi/>
      </w:pPr>
      <w:r>
        <w:t>quran_network: المحكمات والتصريف ويُحفظ مستقلاً حتى يمكن إعادة بناء الحكم ومعرفة أين نشأ الاختلاف بين الباحثين.</w:t>
      </w:r>
    </w:p>
    <w:p>
      <w:pPr>
        <w:spacing w:line="283" w:lineRule="auto" w:after="80"/>
        <w:ind w:firstLine="397"/>
        <w:jc w:val="both"/>
        <w:bidi/>
      </w:pPr>
      <w:r>
        <w:t>competing_report: المأثور المنافس ويُحفظ مستقلاً حتى يمكن إعادة بناء الحكم ومعرفة أين نشأ الاختلاف بين الباحثين.</w:t>
      </w:r>
    </w:p>
    <w:p>
      <w:pPr>
        <w:spacing w:line="283" w:lineRule="auto" w:after="80"/>
        <w:ind w:firstLine="397"/>
        <w:jc w:val="both"/>
        <w:bidi/>
      </w:pPr>
      <w:r>
        <w:t>independent_reading: قراءة لا تعتمد المأثور ويُحفظ مستقلاً حتى يمكن إعادة بناء الحكم ومعرفة أين نشأ الاختلاف بين الباحثين.</w:t>
      </w:r>
    </w:p>
    <w:p>
      <w:pPr>
        <w:spacing w:line="283" w:lineRule="auto" w:after="80"/>
        <w:ind w:firstLine="397"/>
        <w:jc w:val="both"/>
        <w:bidi/>
      </w:pPr>
      <w:r>
        <w:t>reliability: درجة الثبوت ويُحفظ مستقلاً حتى يمكن إعادة بناء الحكم ومعرفة أين نشأ الاختلاف بين الباحثين.</w:t>
      </w:r>
    </w:p>
    <w:p>
      <w:pPr>
        <w:spacing w:line="283" w:lineRule="auto" w:after="80"/>
        <w:ind w:firstLine="397"/>
        <w:jc w:val="both"/>
        <w:bidi/>
      </w:pPr>
      <w:r>
        <w:t>authority: درجة الحجية ويُحفظ مستقلاً حتى يمكن إعادة بناء الحكم ومعرفة أين نشأ الاختلاف بين الباحثين.</w:t>
      </w:r>
    </w:p>
    <w:p>
      <w:pPr>
        <w:spacing w:line="283" w:lineRule="auto" w:after="80"/>
        <w:ind w:firstLine="397"/>
        <w:jc w:val="both"/>
        <w:bidi/>
      </w:pPr>
      <w:r>
        <w:t>decision: الحكم ويُحفظ مستقلاً حتى يمكن إعادة بناء الحكم ومعرفة أين نشأ الاختلاف بين الباحثين.</w:t>
      </w:r>
    </w:p>
    <w:p>
      <w:pPr>
        <w:spacing w:line="283" w:lineRule="auto" w:after="80"/>
        <w:ind w:firstLine="397"/>
        <w:jc w:val="both"/>
        <w:bidi/>
      </w:pPr>
      <w:r>
        <w:t>reviewer: المراجع ويُحفظ مستقلاً حتى يمكن إعادة بناء الحكم ومعرفة أين نشأ الاختلاف بين الباحثين.</w:t>
      </w:r>
    </w:p>
    <w:p>
      <w:pPr>
        <w:spacing w:line="283" w:lineRule="auto" w:after="80"/>
        <w:ind w:firstLine="397"/>
        <w:jc w:val="both"/>
        <w:bidi/>
      </w:pPr>
      <w:r>
        <w:t>version: الإصدار ويُحفظ مستقلاً حتى يمكن إعادة بناء الحكم ومعرفة أين نشأ الاختلاف بين الباحثين.</w:t>
      </w:r>
    </w:p>
    <w:p>
      <w:r>
        <w:br w:type="page"/>
      </w:r>
    </w:p>
    <w:p>
      <w:pPr>
        <w:pStyle w:val="Heading1"/>
        <w:spacing w:line="283" w:lineRule="auto" w:after="120"/>
        <w:jc w:val="right"/>
        <w:keepNext/>
        <w:bidi/>
      </w:pPr>
      <w:r>
        <w:t>القسم التركيبي التاسع: معيار اعتماد القول المأثور</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المعيار</w:t>
            </w:r>
          </w:p>
        </w:tc>
        <w:tc>
          <w:tcPr>
            <w:tcW w:type="dxa" w:w="3952"/>
            <w:vAlign w:val="center"/>
          </w:tcPr>
          <w:p>
            <w:pPr>
              <w:spacing w:line="283" w:lineRule="auto" w:after="0"/>
              <w:jc w:val="center"/>
              <w:bidi/>
            </w:pPr>
            <w:r>
              <w:rPr>
                <w:b/>
                <w:sz w:val="18"/>
              </w:rPr>
              <w:t>المطلوب</w:t>
            </w:r>
          </w:p>
        </w:tc>
      </w:tr>
      <w:tr>
        <w:tc>
          <w:tcPr>
            <w:tcW w:type="dxa" w:w="3952"/>
            <w:vAlign w:val="center"/>
          </w:tcPr>
          <w:p>
            <w:pPr>
              <w:spacing w:line="283" w:lineRule="auto" w:after="0"/>
              <w:jc w:val="right"/>
              <w:bidi/>
            </w:pPr>
            <w:r>
              <w:rPr>
                <w:sz w:val="18"/>
              </w:rPr>
              <w:t>هوية القول</w:t>
            </w:r>
          </w:p>
        </w:tc>
        <w:tc>
          <w:tcPr>
            <w:tcW w:type="dxa" w:w="3952"/>
            <w:vAlign w:val="center"/>
          </w:tcPr>
          <w:p>
            <w:pPr>
              <w:spacing w:line="283" w:lineRule="auto" w:after="0"/>
              <w:jc w:val="right"/>
              <w:bidi/>
            </w:pPr>
            <w:r>
              <w:rPr>
                <w:sz w:val="18"/>
              </w:rPr>
              <w:t>تحديد نصه وموضعه</w:t>
            </w:r>
          </w:p>
        </w:tc>
      </w:tr>
      <w:tr>
        <w:tc>
          <w:tcPr>
            <w:tcW w:type="dxa" w:w="3952"/>
            <w:vAlign w:val="center"/>
          </w:tcPr>
          <w:p>
            <w:pPr>
              <w:spacing w:line="283" w:lineRule="auto" w:after="0"/>
              <w:jc w:val="right"/>
              <w:bidi/>
            </w:pPr>
            <w:r>
              <w:rPr>
                <w:sz w:val="18"/>
              </w:rPr>
              <w:t>جهة النسبة</w:t>
            </w:r>
          </w:p>
        </w:tc>
        <w:tc>
          <w:tcPr>
            <w:tcW w:type="dxa" w:w="3952"/>
            <w:vAlign w:val="center"/>
          </w:tcPr>
          <w:p>
            <w:pPr>
              <w:spacing w:line="283" w:lineRule="auto" w:after="0"/>
              <w:jc w:val="right"/>
              <w:bidi/>
            </w:pPr>
            <w:r>
              <w:rPr>
                <w:sz w:val="18"/>
              </w:rPr>
              <w:t>النبي أو الصحابي أو التابعي أو غيره</w:t>
            </w:r>
          </w:p>
        </w:tc>
      </w:tr>
      <w:tr>
        <w:tc>
          <w:tcPr>
            <w:tcW w:type="dxa" w:w="3952"/>
            <w:vAlign w:val="center"/>
          </w:tcPr>
          <w:p>
            <w:pPr>
              <w:spacing w:line="283" w:lineRule="auto" w:after="0"/>
              <w:jc w:val="right"/>
              <w:bidi/>
            </w:pPr>
            <w:r>
              <w:rPr>
                <w:sz w:val="18"/>
              </w:rPr>
              <w:t>مصدر مبكر</w:t>
            </w:r>
          </w:p>
        </w:tc>
        <w:tc>
          <w:tcPr>
            <w:tcW w:type="dxa" w:w="3952"/>
            <w:vAlign w:val="center"/>
          </w:tcPr>
          <w:p>
            <w:pPr>
              <w:spacing w:line="283" w:lineRule="auto" w:after="0"/>
              <w:jc w:val="right"/>
              <w:bidi/>
            </w:pPr>
            <w:r>
              <w:rPr>
                <w:sz w:val="18"/>
              </w:rPr>
              <w:t>الرجوع إلى أقرب مصدر ممكن</w:t>
            </w:r>
          </w:p>
        </w:tc>
      </w:tr>
      <w:tr>
        <w:tc>
          <w:tcPr>
            <w:tcW w:type="dxa" w:w="3952"/>
            <w:vAlign w:val="center"/>
          </w:tcPr>
          <w:p>
            <w:pPr>
              <w:spacing w:line="283" w:lineRule="auto" w:after="0"/>
              <w:jc w:val="right"/>
              <w:bidi/>
            </w:pPr>
            <w:r>
              <w:rPr>
                <w:sz w:val="18"/>
              </w:rPr>
              <w:t>ثبوت الطريق</w:t>
            </w:r>
          </w:p>
        </w:tc>
        <w:tc>
          <w:tcPr>
            <w:tcW w:type="dxa" w:w="3952"/>
            <w:vAlign w:val="center"/>
          </w:tcPr>
          <w:p>
            <w:pPr>
              <w:spacing w:line="283" w:lineRule="auto" w:after="0"/>
              <w:jc w:val="right"/>
              <w:bidi/>
            </w:pPr>
            <w:r>
              <w:rPr>
                <w:sz w:val="18"/>
              </w:rPr>
              <w:t>تقويم النقل وفق مرتبته</w:t>
            </w:r>
          </w:p>
        </w:tc>
      </w:tr>
      <w:tr>
        <w:tc>
          <w:tcPr>
            <w:tcW w:type="dxa" w:w="3952"/>
            <w:vAlign w:val="center"/>
          </w:tcPr>
          <w:p>
            <w:pPr>
              <w:spacing w:line="283" w:lineRule="auto" w:after="0"/>
              <w:jc w:val="right"/>
              <w:bidi/>
            </w:pPr>
            <w:r>
              <w:rPr>
                <w:sz w:val="18"/>
              </w:rPr>
              <w:t>استقرار اللفظ</w:t>
            </w:r>
          </w:p>
        </w:tc>
        <w:tc>
          <w:tcPr>
            <w:tcW w:type="dxa" w:w="3952"/>
            <w:vAlign w:val="center"/>
          </w:tcPr>
          <w:p>
            <w:pPr>
              <w:spacing w:line="283" w:lineRule="auto" w:after="0"/>
              <w:jc w:val="right"/>
              <w:bidi/>
            </w:pPr>
            <w:r>
              <w:rPr>
                <w:sz w:val="18"/>
              </w:rPr>
              <w:t>معرفة الفروق المؤثرة</w:t>
            </w:r>
          </w:p>
        </w:tc>
      </w:tr>
      <w:tr>
        <w:tc>
          <w:tcPr>
            <w:tcW w:type="dxa" w:w="3952"/>
            <w:vAlign w:val="center"/>
          </w:tcPr>
          <w:p>
            <w:pPr>
              <w:spacing w:line="283" w:lineRule="auto" w:after="0"/>
              <w:jc w:val="right"/>
              <w:bidi/>
            </w:pPr>
            <w:r>
              <w:rPr>
                <w:sz w:val="18"/>
              </w:rPr>
              <w:t>نوع الوظيفة</w:t>
            </w:r>
          </w:p>
        </w:tc>
        <w:tc>
          <w:tcPr>
            <w:tcW w:type="dxa" w:w="3952"/>
            <w:vAlign w:val="center"/>
          </w:tcPr>
          <w:p>
            <w:pPr>
              <w:spacing w:line="283" w:lineRule="auto" w:after="0"/>
              <w:jc w:val="right"/>
              <w:bidi/>
            </w:pPr>
            <w:r>
              <w:rPr>
                <w:sz w:val="18"/>
              </w:rPr>
              <w:t>بيان أو اجتهاد أو مثال أو تطبيق</w:t>
            </w:r>
          </w:p>
        </w:tc>
      </w:tr>
      <w:t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انسجامه مع الآية والمقطع</w:t>
            </w:r>
          </w:p>
        </w:tc>
      </w:tr>
      <w:tr>
        <w:tc>
          <w:tcPr>
            <w:tcW w:type="dxa" w:w="3952"/>
            <w:vAlign w:val="center"/>
          </w:tcPr>
          <w:p>
            <w:pPr>
              <w:spacing w:line="283" w:lineRule="auto" w:after="0"/>
              <w:jc w:val="right"/>
              <w:bidi/>
            </w:pPr>
            <w:r>
              <w:rPr>
                <w:sz w:val="18"/>
              </w:rPr>
              <w:t>المحكمات</w:t>
            </w:r>
          </w:p>
        </w:tc>
        <w:tc>
          <w:tcPr>
            <w:tcW w:type="dxa" w:w="3952"/>
            <w:vAlign w:val="center"/>
          </w:tcPr>
          <w:p>
            <w:pPr>
              <w:spacing w:line="283" w:lineRule="auto" w:after="0"/>
              <w:jc w:val="right"/>
              <w:bidi/>
            </w:pPr>
            <w:r>
              <w:rPr>
                <w:sz w:val="18"/>
              </w:rPr>
              <w:t>عدم مناقضته الأصل الحاكم</w:t>
            </w:r>
          </w:p>
        </w:tc>
      </w:tr>
      <w:tr>
        <w:tc>
          <w:tcPr>
            <w:tcW w:type="dxa" w:w="3952"/>
            <w:vAlign w:val="center"/>
          </w:tcPr>
          <w:p>
            <w:pPr>
              <w:spacing w:line="283" w:lineRule="auto" w:after="0"/>
              <w:jc w:val="right"/>
              <w:bidi/>
            </w:pPr>
            <w:r>
              <w:rPr>
                <w:sz w:val="18"/>
              </w:rPr>
              <w:t>المأثور المنافس</w:t>
            </w:r>
          </w:p>
        </w:tc>
        <w:tc>
          <w:tcPr>
            <w:tcW w:type="dxa" w:w="3952"/>
            <w:vAlign w:val="center"/>
          </w:tcPr>
          <w:p>
            <w:pPr>
              <w:spacing w:line="283" w:lineRule="auto" w:after="0"/>
              <w:jc w:val="right"/>
              <w:bidi/>
            </w:pPr>
            <w:r>
              <w:rPr>
                <w:sz w:val="18"/>
              </w:rPr>
              <w:t>جمع الأقوال المخالفة المبكرة</w:t>
            </w:r>
          </w:p>
        </w:tc>
      </w:tr>
      <w:tr>
        <w:tc>
          <w:tcPr>
            <w:tcW w:type="dxa" w:w="3952"/>
            <w:vAlign w:val="center"/>
          </w:tcPr>
          <w:p>
            <w:pPr>
              <w:spacing w:line="283" w:lineRule="auto" w:after="0"/>
              <w:jc w:val="right"/>
              <w:bidi/>
            </w:pPr>
            <w:r>
              <w:rPr>
                <w:sz w:val="18"/>
              </w:rPr>
              <w:t>الاستقلال</w:t>
            </w:r>
          </w:p>
        </w:tc>
        <w:tc>
          <w:tcPr>
            <w:tcW w:type="dxa" w:w="3952"/>
            <w:vAlign w:val="center"/>
          </w:tcPr>
          <w:p>
            <w:pPr>
              <w:spacing w:line="283" w:lineRule="auto" w:after="0"/>
              <w:jc w:val="right"/>
              <w:bidi/>
            </w:pPr>
            <w:r>
              <w:rPr>
                <w:sz w:val="18"/>
              </w:rPr>
              <w:t>فحص الأصل المشترك للروايات</w:t>
            </w:r>
          </w:p>
        </w:tc>
      </w:tr>
      <w:tr>
        <w:tc>
          <w:tcPr>
            <w:tcW w:type="dxa" w:w="3952"/>
            <w:vAlign w:val="center"/>
          </w:tcPr>
          <w:p>
            <w:pPr>
              <w:spacing w:line="283" w:lineRule="auto" w:after="0"/>
              <w:jc w:val="right"/>
              <w:bidi/>
            </w:pPr>
            <w:r>
              <w:rPr>
                <w:sz w:val="18"/>
              </w:rPr>
              <w:t>القراءة المستقلة</w:t>
            </w:r>
          </w:p>
        </w:tc>
        <w:tc>
          <w:tcPr>
            <w:tcW w:type="dxa" w:w="3952"/>
            <w:vAlign w:val="center"/>
          </w:tcPr>
          <w:p>
            <w:pPr>
              <w:spacing w:line="283" w:lineRule="auto" w:after="0"/>
              <w:jc w:val="right"/>
              <w:bidi/>
            </w:pPr>
            <w:r>
              <w:rPr>
                <w:sz w:val="18"/>
              </w:rPr>
              <w:t>اختبار النص من دون الخبر</w:t>
            </w:r>
          </w:p>
        </w:tc>
      </w:tr>
      <w:tr>
        <w:tc>
          <w:tcPr>
            <w:tcW w:type="dxa" w:w="3952"/>
            <w:vAlign w:val="center"/>
          </w:tcPr>
          <w:p>
            <w:pPr>
              <w:spacing w:line="283" w:lineRule="auto" w:after="0"/>
              <w:jc w:val="right"/>
              <w:bidi/>
            </w:pPr>
            <w:r>
              <w:rPr>
                <w:sz w:val="18"/>
              </w:rPr>
              <w:t>الأثر</w:t>
            </w:r>
          </w:p>
        </w:tc>
        <w:tc>
          <w:tcPr>
            <w:tcW w:type="dxa" w:w="3952"/>
            <w:vAlign w:val="center"/>
          </w:tcPr>
          <w:p>
            <w:pPr>
              <w:spacing w:line="283" w:lineRule="auto" w:after="0"/>
              <w:jc w:val="right"/>
              <w:bidi/>
            </w:pPr>
            <w:r>
              <w:rPr>
                <w:sz w:val="18"/>
              </w:rPr>
              <w:t>تحديد مقدار ما يغيره القول</w:t>
            </w:r>
          </w:p>
        </w:tc>
      </w:tr>
      <w:tr>
        <w:tc>
          <w:tcPr>
            <w:tcW w:type="dxa" w:w="3952"/>
            <w:vAlign w:val="center"/>
          </w:tcPr>
          <w:p>
            <w:pPr>
              <w:spacing w:line="283" w:lineRule="auto" w:after="0"/>
              <w:jc w:val="right"/>
              <w:bidi/>
            </w:pPr>
            <w:r>
              <w:rPr>
                <w:sz w:val="18"/>
              </w:rPr>
              <w:t>العتبة</w:t>
            </w:r>
          </w:p>
        </w:tc>
        <w:tc>
          <w:tcPr>
            <w:tcW w:type="dxa" w:w="3952"/>
            <w:vAlign w:val="center"/>
          </w:tcPr>
          <w:p>
            <w:pPr>
              <w:spacing w:line="283" w:lineRule="auto" w:after="0"/>
              <w:jc w:val="right"/>
              <w:bidi/>
            </w:pPr>
            <w:r>
              <w:rPr>
                <w:sz w:val="18"/>
              </w:rPr>
              <w:t>رفع التحقق في العقيدة والحقوق</w:t>
            </w:r>
          </w:p>
        </w:tc>
      </w:tr>
      <w:tr>
        <w:tc>
          <w:tcPr>
            <w:tcW w:type="dxa" w:w="3952"/>
            <w:vAlign w:val="center"/>
          </w:tcPr>
          <w:p>
            <w:pPr>
              <w:spacing w:line="283" w:lineRule="auto" w:after="0"/>
              <w:jc w:val="right"/>
              <w:bidi/>
            </w:pPr>
            <w:r>
              <w:rPr>
                <w:sz w:val="18"/>
              </w:rPr>
              <w:t>المراجعة</w:t>
            </w:r>
          </w:p>
        </w:tc>
        <w:tc>
          <w:tcPr>
            <w:tcW w:type="dxa" w:w="3952"/>
            <w:vAlign w:val="center"/>
          </w:tcPr>
          <w:p>
            <w:pPr>
              <w:spacing w:line="283" w:lineRule="auto" w:after="0"/>
              <w:jc w:val="right"/>
              <w:bidi/>
            </w:pPr>
            <w:r>
              <w:rPr>
                <w:sz w:val="18"/>
              </w:rPr>
              <w:t>باحث مستقل وإصدار</w:t>
            </w:r>
          </w:p>
        </w:tc>
      </w:tr>
    </w:tbl>
    <w:p/>
    <w:p>
      <w:pPr>
        <w:spacing w:line="283" w:lineRule="auto" w:after="80"/>
        <w:ind w:firstLine="397"/>
        <w:jc w:val="both"/>
        <w:bidi/>
      </w:pPr>
      <w:r>
        <w:t>هوية القول: تحديد نصه وموضعه،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جهة النسبة: النبي أو الصحابي أو التابعي أو غيره،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مصدر مبكر: الرجوع إلى أقرب مصدر ممكن،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ثبوت الطريق: تقويم النقل وفق مرتبته،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استقرار اللفظ: معرفة الفروق المؤثرة،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نوع الوظيفة: بيان أو اجتهاد أو مثال أو تطبيق،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السياق: انسجامه مع الآية والمقطع،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المحكمات: عدم مناقضته الأصل الحاكم،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المأثور المنافس: جمع الأقوال المخالفة المبكرة،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الاستقلال: فحص الأصل المشترك للروايات،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القراءة المستقلة: اختبار النص من دون الخبر،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الأثر: تحديد مقدار ما يغيره القول،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العتبة: رفع التحقق في العقيدة والحقوق، ولا يعد القول معتمداً لمجرد اجتياز بعض المعايير إذا كان الخلل في معيار جوهري مثل جهة النسبة أو المحكمات أو الوظيفة.</w:t>
      </w:r>
    </w:p>
    <w:p>
      <w:pPr>
        <w:spacing w:line="283" w:lineRule="auto" w:after="80"/>
        <w:ind w:firstLine="397"/>
        <w:jc w:val="both"/>
        <w:bidi/>
      </w:pPr>
      <w:r>
        <w:t>المراجعة: باحث مستقل وإصدار، ولا يعد القول معتمداً لمجرد اجتياز بعض المعايير إذا كان الخلل في معيار جوهري مثل جهة النسبة أو المحكمات أو الوظيفة.</w:t>
      </w:r>
    </w:p>
    <w:p>
      <w:r>
        <w:br w:type="page"/>
      </w:r>
    </w:p>
    <w:p>
      <w:pPr>
        <w:pStyle w:val="Heading1"/>
        <w:spacing w:line="283" w:lineRule="auto" w:after="120"/>
        <w:jc w:val="right"/>
        <w:keepNext/>
        <w:bidi/>
      </w:pPr>
      <w:r>
        <w:t>القسم التركيبي العاشر: أسئلة البحث المفتوحة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السؤال</w:t>
            </w:r>
          </w:p>
        </w:tc>
        <w:tc>
          <w:tcPr>
            <w:tcW w:type="dxa" w:w="3952"/>
            <w:vAlign w:val="center"/>
          </w:tcPr>
          <w:p>
            <w:pPr>
              <w:spacing w:line="283" w:lineRule="auto" w:after="0"/>
              <w:jc w:val="center"/>
              <w:bidi/>
            </w:pPr>
            <w:r>
              <w:rPr>
                <w:b/>
                <w:sz w:val="18"/>
              </w:rPr>
              <w:t>الإشكال</w:t>
            </w:r>
          </w:p>
        </w:tc>
      </w:tr>
      <w:tr>
        <w:tc>
          <w:tcPr>
            <w:tcW w:type="dxa" w:w="3952"/>
            <w:vAlign w:val="center"/>
          </w:tcPr>
          <w:p>
            <w:pPr>
              <w:spacing w:line="283" w:lineRule="auto" w:after="0"/>
              <w:jc w:val="right"/>
              <w:bidi/>
            </w:pPr>
            <w:r>
              <w:rPr>
                <w:sz w:val="18"/>
              </w:rPr>
              <w:t>التفسير النبوي</w:t>
            </w:r>
          </w:p>
        </w:tc>
        <w:tc>
          <w:tcPr>
            <w:tcW w:type="dxa" w:w="3952"/>
            <w:vAlign w:val="center"/>
          </w:tcPr>
          <w:p>
            <w:pPr>
              <w:spacing w:line="283" w:lineRule="auto" w:after="0"/>
              <w:jc w:val="right"/>
              <w:bidi/>
            </w:pPr>
            <w:r>
              <w:rPr>
                <w:sz w:val="18"/>
              </w:rPr>
              <w:t>ما مقدار ما ثبت مرفوعاً تفسيراً صريحاً مقارنةً بالتطبيق والوعظ؟</w:t>
            </w:r>
          </w:p>
        </w:tc>
      </w:tr>
      <w:tr>
        <w:tc>
          <w:tcPr>
            <w:tcW w:type="dxa" w:w="3952"/>
            <w:vAlign w:val="center"/>
          </w:tcPr>
          <w:p>
            <w:pPr>
              <w:spacing w:line="283" w:lineRule="auto" w:after="0"/>
              <w:jc w:val="right"/>
              <w:bidi/>
            </w:pPr>
            <w:r>
              <w:rPr>
                <w:sz w:val="18"/>
              </w:rPr>
              <w:t>صحيفة علي وابن عباس</w:t>
            </w:r>
          </w:p>
        </w:tc>
        <w:tc>
          <w:tcPr>
            <w:tcW w:type="dxa" w:w="3952"/>
            <w:vAlign w:val="center"/>
          </w:tcPr>
          <w:p>
            <w:pPr>
              <w:spacing w:line="283" w:lineRule="auto" w:after="0"/>
              <w:jc w:val="right"/>
              <w:bidi/>
            </w:pPr>
            <w:r>
              <w:rPr>
                <w:sz w:val="18"/>
              </w:rPr>
              <w:t>كيف تميز الطبقات التاريخية للنقول المنسوبة إليهما؟</w:t>
            </w:r>
          </w:p>
        </w:tc>
      </w:tr>
      <w:tr>
        <w:tc>
          <w:tcPr>
            <w:tcW w:type="dxa" w:w="3952"/>
            <w:vAlign w:val="center"/>
          </w:tcPr>
          <w:p>
            <w:pPr>
              <w:spacing w:line="283" w:lineRule="auto" w:after="0"/>
              <w:jc w:val="right"/>
              <w:bidi/>
            </w:pPr>
            <w:r>
              <w:rPr>
                <w:sz w:val="18"/>
              </w:rPr>
              <w:t>مدرسة ابن عباس</w:t>
            </w:r>
          </w:p>
        </w:tc>
        <w:tc>
          <w:tcPr>
            <w:tcW w:type="dxa" w:w="3952"/>
            <w:vAlign w:val="center"/>
          </w:tcPr>
          <w:p>
            <w:pPr>
              <w:spacing w:line="283" w:lineRule="auto" w:after="0"/>
              <w:jc w:val="right"/>
              <w:bidi/>
            </w:pPr>
            <w:r>
              <w:rPr>
                <w:sz w:val="18"/>
              </w:rPr>
              <w:t>هل الأقوال المنسوبة إلى تلاميذه شبكة مدرسة واحدة أم مدارس متعددة؟</w:t>
            </w:r>
          </w:p>
        </w:tc>
      </w:tr>
      <w:tr>
        <w:tc>
          <w:tcPr>
            <w:tcW w:type="dxa" w:w="3952"/>
            <w:vAlign w:val="center"/>
          </w:tcPr>
          <w:p>
            <w:pPr>
              <w:spacing w:line="283" w:lineRule="auto" w:after="0"/>
              <w:jc w:val="right"/>
              <w:bidi/>
            </w:pPr>
            <w:r>
              <w:rPr>
                <w:sz w:val="18"/>
              </w:rPr>
              <w:t>مجاهد</w:t>
            </w:r>
          </w:p>
        </w:tc>
        <w:tc>
          <w:tcPr>
            <w:tcW w:type="dxa" w:w="3952"/>
            <w:vAlign w:val="center"/>
          </w:tcPr>
          <w:p>
            <w:pPr>
              <w:spacing w:line="283" w:lineRule="auto" w:after="0"/>
              <w:jc w:val="right"/>
              <w:bidi/>
            </w:pPr>
            <w:r>
              <w:rPr>
                <w:sz w:val="18"/>
              </w:rPr>
              <w:t>ما مدى اعتماد المصنفات اللاحقة على أصول مكتوبة من تفسيره؟</w:t>
            </w:r>
          </w:p>
        </w:tc>
      </w:tr>
      <w:tr>
        <w:tc>
          <w:tcPr>
            <w:tcW w:type="dxa" w:w="3952"/>
            <w:vAlign w:val="center"/>
          </w:tcPr>
          <w:p>
            <w:pPr>
              <w:spacing w:line="283" w:lineRule="auto" w:after="0"/>
              <w:jc w:val="right"/>
              <w:bidi/>
            </w:pPr>
            <w:r>
              <w:rPr>
                <w:sz w:val="18"/>
              </w:rPr>
              <w:t>قتادة</w:t>
            </w:r>
          </w:p>
        </w:tc>
        <w:tc>
          <w:tcPr>
            <w:tcW w:type="dxa" w:w="3952"/>
            <w:vAlign w:val="center"/>
          </w:tcPr>
          <w:p>
            <w:pPr>
              <w:spacing w:line="283" w:lineRule="auto" w:after="0"/>
              <w:jc w:val="right"/>
              <w:bidi/>
            </w:pPr>
            <w:r>
              <w:rPr>
                <w:sz w:val="18"/>
              </w:rPr>
              <w:t>كيف يؤثر النقل الواسع عنه في استقلال طرق التفسير؟</w:t>
            </w:r>
          </w:p>
        </w:tc>
      </w:tr>
      <w:tr>
        <w:tc>
          <w:tcPr>
            <w:tcW w:type="dxa" w:w="3952"/>
            <w:vAlign w:val="center"/>
          </w:tcPr>
          <w:p>
            <w:pPr>
              <w:spacing w:line="283" w:lineRule="auto" w:after="0"/>
              <w:jc w:val="right"/>
              <w:bidi/>
            </w:pPr>
            <w:r>
              <w:rPr>
                <w:sz w:val="18"/>
              </w:rPr>
              <w:t>الإسرائيليات</w:t>
            </w:r>
          </w:p>
        </w:tc>
        <w:tc>
          <w:tcPr>
            <w:tcW w:type="dxa" w:w="3952"/>
            <w:vAlign w:val="center"/>
          </w:tcPr>
          <w:p>
            <w:pPr>
              <w:spacing w:line="283" w:lineRule="auto" w:after="0"/>
              <w:jc w:val="right"/>
              <w:bidi/>
            </w:pPr>
            <w:r>
              <w:rPr>
                <w:sz w:val="18"/>
              </w:rPr>
              <w:t>هل يمكن بناء أطلس لمسارات الأخبار من أهل الكتاب إلى كتب التفسير؟</w:t>
            </w:r>
          </w:p>
        </w:tc>
      </w:tr>
      <w:tr>
        <w:tc>
          <w:tcPr>
            <w:tcW w:type="dxa" w:w="3952"/>
            <w:vAlign w:val="center"/>
          </w:tcPr>
          <w:p>
            <w:pPr>
              <w:spacing w:line="283" w:lineRule="auto" w:after="0"/>
              <w:jc w:val="right"/>
              <w:bidi/>
            </w:pPr>
            <w:r>
              <w:rPr>
                <w:sz w:val="18"/>
              </w:rPr>
              <w:t>التفسير الشيعي المبكر</w:t>
            </w:r>
          </w:p>
        </w:tc>
        <w:tc>
          <w:tcPr>
            <w:tcW w:type="dxa" w:w="3952"/>
            <w:vAlign w:val="center"/>
          </w:tcPr>
          <w:p>
            <w:pPr>
              <w:spacing w:line="283" w:lineRule="auto" w:after="0"/>
              <w:jc w:val="right"/>
              <w:bidi/>
            </w:pPr>
            <w:r>
              <w:rPr>
                <w:sz w:val="18"/>
              </w:rPr>
              <w:t>كيف تعاد دراسة طبقات القمي والعياشي والأصول السابقة؟</w:t>
            </w:r>
          </w:p>
        </w:tc>
      </w:tr>
      <w:tr>
        <w:tc>
          <w:tcPr>
            <w:tcW w:type="dxa" w:w="3952"/>
            <w:vAlign w:val="center"/>
          </w:tcPr>
          <w:p>
            <w:pPr>
              <w:spacing w:line="283" w:lineRule="auto" w:after="0"/>
              <w:jc w:val="right"/>
              <w:bidi/>
            </w:pPr>
            <w:r>
              <w:rPr>
                <w:sz w:val="18"/>
              </w:rPr>
              <w:t>الإجماع التفسيري</w:t>
            </w:r>
          </w:p>
        </w:tc>
        <w:tc>
          <w:tcPr>
            <w:tcW w:type="dxa" w:w="3952"/>
            <w:vAlign w:val="center"/>
          </w:tcPr>
          <w:p>
            <w:pPr>
              <w:spacing w:line="283" w:lineRule="auto" w:after="0"/>
              <w:jc w:val="right"/>
              <w:bidi/>
            </w:pPr>
            <w:r>
              <w:rPr>
                <w:sz w:val="18"/>
              </w:rPr>
              <w:t>ما معيار إثبات غياب المخالف في القرون الأولى؟</w:t>
            </w:r>
          </w:p>
        </w:tc>
      </w:tr>
      <w:tr>
        <w:tc>
          <w:tcPr>
            <w:tcW w:type="dxa" w:w="3952"/>
            <w:vAlign w:val="center"/>
          </w:tcPr>
          <w:p>
            <w:pPr>
              <w:spacing w:line="283" w:lineRule="auto" w:after="0"/>
              <w:jc w:val="right"/>
              <w:bidi/>
            </w:pPr>
            <w:r>
              <w:rPr>
                <w:sz w:val="18"/>
              </w:rPr>
              <w:t>القراءات التفسيرية</w:t>
            </w:r>
          </w:p>
        </w:tc>
        <w:tc>
          <w:tcPr>
            <w:tcW w:type="dxa" w:w="3952"/>
            <w:vAlign w:val="center"/>
          </w:tcPr>
          <w:p>
            <w:pPr>
              <w:spacing w:line="283" w:lineRule="auto" w:after="0"/>
              <w:jc w:val="right"/>
              <w:bidi/>
            </w:pPr>
            <w:r>
              <w:rPr>
                <w:sz w:val="18"/>
              </w:rPr>
              <w:t>كيف يميز النص المقروء من التفسير المدرج؟</w:t>
            </w:r>
          </w:p>
        </w:tc>
      </w:tr>
      <w:tr>
        <w:tc>
          <w:tcPr>
            <w:tcW w:type="dxa" w:w="3952"/>
            <w:vAlign w:val="center"/>
          </w:tcPr>
          <w:p>
            <w:pPr>
              <w:spacing w:line="283" w:lineRule="auto" w:after="0"/>
              <w:jc w:val="right"/>
              <w:bidi/>
            </w:pPr>
            <w:r>
              <w:rPr>
                <w:sz w:val="18"/>
              </w:rPr>
              <w:t>المراسيل</w:t>
            </w:r>
          </w:p>
        </w:tc>
        <w:tc>
          <w:tcPr>
            <w:tcW w:type="dxa" w:w="3952"/>
            <w:vAlign w:val="center"/>
          </w:tcPr>
          <w:p>
            <w:pPr>
              <w:spacing w:line="283" w:lineRule="auto" w:after="0"/>
              <w:jc w:val="right"/>
              <w:bidi/>
            </w:pPr>
            <w:r>
              <w:rPr>
                <w:sz w:val="18"/>
              </w:rPr>
              <w:t>ما قيمة الشبكات المستقلة في تقوية معنى تاريخي لا نسبة نبوية؟</w:t>
            </w:r>
          </w:p>
        </w:tc>
      </w:tr>
      <w:tr>
        <w:tc>
          <w:tcPr>
            <w:tcW w:type="dxa" w:w="3952"/>
            <w:vAlign w:val="center"/>
          </w:tcPr>
          <w:p>
            <w:pPr>
              <w:spacing w:line="283" w:lineRule="auto" w:after="0"/>
              <w:jc w:val="right"/>
              <w:bidi/>
            </w:pPr>
            <w:r>
              <w:rPr>
                <w:sz w:val="18"/>
              </w:rPr>
              <w:t>الحوسبة</w:t>
            </w:r>
          </w:p>
        </w:tc>
        <w:tc>
          <w:tcPr>
            <w:tcW w:type="dxa" w:w="3952"/>
            <w:vAlign w:val="center"/>
          </w:tcPr>
          <w:p>
            <w:pPr>
              <w:spacing w:line="283" w:lineRule="auto" w:after="0"/>
              <w:jc w:val="right"/>
              <w:bidi/>
            </w:pPr>
            <w:r>
              <w:rPr>
                <w:sz w:val="18"/>
              </w:rPr>
              <w:t>كيف تكتشف الأصول المشتركة من آلاف الأسانيد والأقوال؟</w:t>
            </w:r>
          </w:p>
        </w:tc>
      </w:tr>
      <w:tr>
        <w:tc>
          <w:tcPr>
            <w:tcW w:type="dxa" w:w="3952"/>
            <w:vAlign w:val="center"/>
          </w:tcPr>
          <w:p>
            <w:pPr>
              <w:spacing w:line="283" w:lineRule="auto" w:after="0"/>
              <w:jc w:val="right"/>
              <w:bidi/>
            </w:pPr>
            <w:r>
              <w:rPr>
                <w:sz w:val="18"/>
              </w:rPr>
              <w:t>المقارنة المذهبية</w:t>
            </w:r>
          </w:p>
        </w:tc>
        <w:tc>
          <w:tcPr>
            <w:tcW w:type="dxa" w:w="3952"/>
            <w:vAlign w:val="center"/>
          </w:tcPr>
          <w:p>
            <w:pPr>
              <w:spacing w:line="283" w:lineRule="auto" w:after="0"/>
              <w:jc w:val="right"/>
              <w:bidi/>
            </w:pPr>
            <w:r>
              <w:rPr>
                <w:sz w:val="18"/>
              </w:rPr>
              <w:t>كيف تُبنى مدونة متوازنة لا يهيمن عليها توفر مصادر مدرسة؟</w:t>
            </w:r>
          </w:p>
        </w:tc>
      </w:tr>
    </w:tbl>
    <w:p/>
    <w:p>
      <w:pPr>
        <w:spacing w:line="283" w:lineRule="auto" w:after="80"/>
        <w:ind w:firstLine="397"/>
        <w:jc w:val="both"/>
        <w:bidi/>
      </w:pPr>
      <w:r>
        <w:t>التفسير النبوي: ما مقدار ما ثبت مرفوعاً تفسيراً صريحاً مقارنةً بالتطبيق والوعظ؟ ويحتاج هذا السؤال إلى مدونة مستقلة ومعيار نجاح معلن، ولا يحسم من خلال الانطباع عن كتب التفسير المشهورة.</w:t>
      </w:r>
    </w:p>
    <w:p>
      <w:pPr>
        <w:spacing w:line="283" w:lineRule="auto" w:after="80"/>
        <w:ind w:firstLine="397"/>
        <w:jc w:val="both"/>
        <w:bidi/>
      </w:pPr>
      <w:r>
        <w:t>صحيفة علي وابن عباس: كيف تميز الطبقات التاريخية للنقول المنسوبة إليهما؟ ويحتاج هذا السؤال إلى مدونة مستقلة ومعيار نجاح معلن، ولا يحسم من خلال الانطباع عن كتب التفسير المشهورة.</w:t>
      </w:r>
    </w:p>
    <w:p>
      <w:pPr>
        <w:spacing w:line="283" w:lineRule="auto" w:after="80"/>
        <w:ind w:firstLine="397"/>
        <w:jc w:val="both"/>
        <w:bidi/>
      </w:pPr>
      <w:r>
        <w:t>مدرسة ابن عباس: هل الأقوال المنسوبة إلى تلاميذه شبكة مدرسة واحدة أم مدارس متعددة؟ ويحتاج هذا السؤال إلى مدونة مستقلة ومعيار نجاح معلن، ولا يحسم من خلال الانطباع عن كتب التفسير المشهورة.</w:t>
      </w:r>
    </w:p>
    <w:p>
      <w:pPr>
        <w:spacing w:line="283" w:lineRule="auto" w:after="80"/>
        <w:ind w:firstLine="397"/>
        <w:jc w:val="both"/>
        <w:bidi/>
      </w:pPr>
      <w:r>
        <w:t>مجاهد: ما مدى اعتماد المصنفات اللاحقة على أصول مكتوبة من تفسيره؟ ويحتاج هذا السؤال إلى مدونة مستقلة ومعيار نجاح معلن، ولا يحسم من خلال الانطباع عن كتب التفسير المشهورة.</w:t>
      </w:r>
    </w:p>
    <w:p>
      <w:pPr>
        <w:spacing w:line="283" w:lineRule="auto" w:after="80"/>
        <w:ind w:firstLine="397"/>
        <w:jc w:val="both"/>
        <w:bidi/>
      </w:pPr>
      <w:r>
        <w:t>قتادة: كيف يؤثر النقل الواسع عنه في استقلال طرق التفسير؟ ويحتاج هذا السؤال إلى مدونة مستقلة ومعيار نجاح معلن، ولا يحسم من خلال الانطباع عن كتب التفسير المشهورة.</w:t>
      </w:r>
    </w:p>
    <w:p>
      <w:pPr>
        <w:spacing w:line="283" w:lineRule="auto" w:after="80"/>
        <w:ind w:firstLine="397"/>
        <w:jc w:val="both"/>
        <w:bidi/>
      </w:pPr>
      <w:r>
        <w:t>الإسرائيليات: هل يمكن بناء أطلس لمسارات الأخبار من أهل الكتاب إلى كتب التفسير؟ ويحتاج هذا السؤال إلى مدونة مستقلة ومعيار نجاح معلن، ولا يحسم من خلال الانطباع عن كتب التفسير المشهورة.</w:t>
      </w:r>
    </w:p>
    <w:p>
      <w:pPr>
        <w:spacing w:line="283" w:lineRule="auto" w:after="80"/>
        <w:ind w:firstLine="397"/>
        <w:jc w:val="both"/>
        <w:bidi/>
      </w:pPr>
      <w:r>
        <w:t>التفسير الشيعي المبكر: كيف تعاد دراسة طبقات القمي والعياشي والأصول السابقة؟ ويحتاج هذا السؤال إلى مدونة مستقلة ومعيار نجاح معلن، ولا يحسم من خلال الانطباع عن كتب التفسير المشهورة.</w:t>
      </w:r>
    </w:p>
    <w:p>
      <w:pPr>
        <w:spacing w:line="283" w:lineRule="auto" w:after="80"/>
        <w:ind w:firstLine="397"/>
        <w:jc w:val="both"/>
        <w:bidi/>
      </w:pPr>
      <w:r>
        <w:t>الإجماع التفسيري: ما معيار إثبات غياب المخالف في القرون الأولى؟ ويحتاج هذا السؤال إلى مدونة مستقلة ومعيار نجاح معلن، ولا يحسم من خلال الانطباع عن كتب التفسير المشهورة.</w:t>
      </w:r>
    </w:p>
    <w:p>
      <w:pPr>
        <w:spacing w:line="283" w:lineRule="auto" w:after="80"/>
        <w:ind w:firstLine="397"/>
        <w:jc w:val="both"/>
        <w:bidi/>
      </w:pPr>
      <w:r>
        <w:t>القراءات التفسيرية: كيف يميز النص المقروء من التفسير المدرج؟ ويحتاج هذا السؤال إلى مدونة مستقلة ومعيار نجاح معلن، ولا يحسم من خلال الانطباع عن كتب التفسير المشهورة.</w:t>
      </w:r>
    </w:p>
    <w:p>
      <w:pPr>
        <w:spacing w:line="283" w:lineRule="auto" w:after="80"/>
        <w:ind w:firstLine="397"/>
        <w:jc w:val="both"/>
        <w:bidi/>
      </w:pPr>
      <w:r>
        <w:t>المراسيل: ما قيمة الشبكات المستقلة في تقوية معنى تاريخي لا نسبة نبوية؟ ويحتاج هذا السؤال إلى مدونة مستقلة ومعيار نجاح معلن، ولا يحسم من خلال الانطباع عن كتب التفسير المشهورة.</w:t>
      </w:r>
    </w:p>
    <w:p>
      <w:pPr>
        <w:spacing w:line="283" w:lineRule="auto" w:after="80"/>
        <w:ind w:firstLine="397"/>
        <w:jc w:val="both"/>
        <w:bidi/>
      </w:pPr>
      <w:r>
        <w:t>الحوسبة: كيف تكتشف الأصول المشتركة من آلاف الأسانيد والأقوال؟ ويحتاج هذا السؤال إلى مدونة مستقلة ومعيار نجاح معلن، ولا يحسم من خلال الانطباع عن كتب التفسير المشهورة.</w:t>
      </w:r>
    </w:p>
    <w:p>
      <w:pPr>
        <w:spacing w:line="283" w:lineRule="auto" w:after="80"/>
        <w:ind w:firstLine="397"/>
        <w:jc w:val="both"/>
        <w:bidi/>
      </w:pPr>
      <w:r>
        <w:t>المقارنة المذهبية: كيف تُبنى مدونة متوازنة لا يهيمن عليها توفر مصادر مدرسة؟ ويحتاج هذا السؤال إلى مدونة مستقلة ومعيار نجاح معلن، ولا يحسم من خلال الانطباع عن كتب التفسير المشهورة.</w:t>
      </w:r>
    </w:p>
    <w:p>
      <w:r>
        <w:br w:type="page"/>
      </w:r>
    </w:p>
    <w:p>
      <w:pPr>
        <w:pStyle w:val="Heading1"/>
        <w:spacing w:line="283" w:lineRule="auto" w:after="120"/>
        <w:jc w:val="right"/>
        <w:keepNext/>
        <w:bidi/>
      </w:pPr>
      <w:r>
        <w:t>الخاتمة</w:t>
      </w:r>
    </w:p>
    <w:p>
      <w:pPr>
        <w:spacing w:line="283" w:lineRule="auto" w:after="80"/>
        <w:ind w:firstLine="397"/>
        <w:jc w:val="both"/>
        <w:bidi/>
      </w:pPr>
      <w:r>
        <w:t>ينتهي الكتاب إلى أن التفسير بالمأثور لا يقابل التفسير العقلي مقابلةً بسيطة؛ فالمأثور نفسه يشتمل على بيان نبوي وشهادة تاريخية واجتهاد لغوي وتفسير بالمثال ومدارس بشرية وإسرائيليات. ومن ثم فإن أول واجب هو تفكيك هذا المجموع قبل الاحتجاج به.</w:t>
      </w:r>
    </w:p>
    <w:p>
      <w:pPr>
        <w:spacing w:line="283" w:lineRule="auto" w:after="80"/>
        <w:ind w:firstLine="397"/>
        <w:jc w:val="both"/>
        <w:bidi/>
      </w:pPr>
      <w:r>
        <w:t>يحفظ المنهج لبيان الرسول الثابت مرتبته، لكنه لا ينقل هذه المرتبة إلى كل رواية نسبت إليه أو إلى كل ما جمعه مصنف تحت آية. كما يحفظ للصحابة والتابعين قيمة قربهم من اللسان والتنزيل، من غير أن يجعلهم معصومين من الاختلاف والاجتهاد والنقل عن غيرهم.</w:t>
      </w:r>
    </w:p>
    <w:p>
      <w:pPr>
        <w:spacing w:line="283" w:lineRule="auto" w:after="80"/>
        <w:ind w:firstLine="397"/>
        <w:jc w:val="both"/>
        <w:bidi/>
      </w:pPr>
      <w:r>
        <w:t>ويكشف تحليل الإسرائيليات أن القرآن لا يحتاج إلى ملء كل مساحة سكت عنها؛ فالسكوت قد يكون جزءاً من بناء العبرة. وحين يدخل التفصيل الخارجي ينبغي أن يظل معروف المصدر والوظيفة، وألا يعيد تشكيل العقيدة أو صورة الأنبياء أو حكم النص.</w:t>
      </w:r>
    </w:p>
    <w:p>
      <w:pPr>
        <w:spacing w:line="283" w:lineRule="auto" w:after="80"/>
        <w:ind w:firstLine="397"/>
        <w:jc w:val="both"/>
        <w:bidi/>
      </w:pPr>
      <w:r>
        <w:t>كما يبين الكتاب أن الاختلاف المبكر ليس مشكلةً يجب إخفاؤها، بل مادة علمية تكشف حدود دعوى الإجماع وتعين على التمييز بين البيان المشترك والاجتهادات المدرسية. ويصبح الترجيح عملاً قرآنياً ولسانياً وتاريخياً لا مجرد اختيار السند الأشهر.</w:t>
      </w:r>
    </w:p>
    <w:p>
      <w:pPr>
        <w:spacing w:line="283" w:lineRule="auto" w:after="80"/>
        <w:ind w:firstLine="397"/>
        <w:jc w:val="both"/>
        <w:bidi/>
      </w:pPr>
      <w:r>
        <w:t>وبذلك يُعاد التفسير بالمأثور إلى موقعه الصحيح: شاهدٌ وبيانٌ وتاريخُ تلقي بدرجات، يعمل تحت حاكمية القرآن وداخل نظام البيان، ويسهم في العلم بالمراد بقدر ما يثبت من طريقه ووظيفته، ولا يتحول إلى سلطة بشرية فوق النص المنزل.</w:t>
      </w:r>
    </w:p>
    <w:p>
      <w:pPr>
        <w:pStyle w:val="Heading2"/>
        <w:spacing w:line="283" w:lineRule="auto" w:after="120"/>
        <w:jc w:val="right"/>
        <w:keepNext/>
        <w:bidi/>
      </w:pPr>
      <w:r>
        <w:t>التعريف النهائي</w:t>
      </w:r>
    </w:p>
    <w:p>
      <w:pPr>
        <w:spacing w:line="283" w:lineRule="auto" w:after="80"/>
        <w:ind w:firstLine="397"/>
        <w:jc w:val="both"/>
        <w:bidi/>
      </w:pPr>
      <w:r>
        <w:t>التفسير بالمأثور في ميزان القرآن ومنطق البيان هو منهج جمع وتحقيق وتصنيف الأقوال والروايات والآثار المتصلة بتفسير القرآن بحسب جهة نسبتها ودرجة ثبوتها ووظيفتها التاريخية والبيانية، مع تمييز بيان الرسول الثابت من الرواية المنسوبة إليه، وشهادة الصحابي من اجتهاده، وتفسير التابعي من تاريخ المدرسة، والمصداق والتطبيق من الحصر الدلالي، والإسرائيليات من البيان القرآني، ثم وزن جميع ذلك بالسياق والمحكمات والقراءات والتصريف وشبكات المفاهيم والأقوال المنافسة، لإنتاج تفسير معلل متدرج قابل للاعتراض والتصحيح تحت حاكمية القرآن ومنطق البيان والميزان والقسط.</w:t>
      </w:r>
    </w:p>
    <w:sectPr w:rsidR="00FC693F" w:rsidRPr="0006063C" w:rsidSect="00034616">
      <w:headerReference w:type="default" r:id="rId9"/>
      <w:footerReference w:type="default" r:id="rId10"/>
      <w:pgSz w:w="9978" w:h="14173"/>
      <w:pgMar w:top="1080"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t>موسوعة علم الأصول النظرية للتفسير البياني - الكتاب التاسع عشر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التاسع عشر: التفسير بالمأثور في ميزان القرآن ومنطق البيان</dc:title>
  <dc:subject>موسوعة علم الأصول النظرية للتفسير البياني</dc:subject>
  <dc:creator>Ibn ʿAbbās al-ʿĀmilī, PhD</dc:creator>
  <cp:keywords>التفسير بالمأثور، القرآن، منطق البيان، الصحابة، التابعون، الإسرائيليات</cp:keywords>
  <dc:description>generated by python-docx</dc:description>
  <cp:lastModifiedBy/>
  <cp:revision>1</cp:revision>
  <dcterms:created xsi:type="dcterms:W3CDTF">2013-12-23T23:15:00Z</dcterms:created>
  <dcterms:modified xsi:type="dcterms:W3CDTF">2013-12-23T23:15:00Z</dcterms:modified>
  <cp:category/>
</cp:coreProperties>
</file>